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4415" w14:textId="3E732C60" w:rsidR="0064229F" w:rsidRDefault="000959DD" w:rsidP="0064229F">
      <w:pPr>
        <w:pStyle w:val="Titre"/>
        <w:rPr>
          <w:rFonts w:ascii="Work Sans" w:hAnsi="Work Sans"/>
          <w:bCs/>
          <w:color w:val="DAC191" w:themeColor="accent3"/>
        </w:rPr>
      </w:pPr>
      <w:r>
        <w:rPr>
          <w:rFonts w:ascii="Work Sans" w:hAnsi="Work Sans"/>
          <w:bCs/>
          <w:noProof/>
          <w:color w:val="DAC191" w:themeColor="accent3"/>
        </w:rPr>
        <w:drawing>
          <wp:anchor distT="0" distB="0" distL="114300" distR="114300" simplePos="0" relativeHeight="251658240" behindDoc="1" locked="0" layoutInCell="1" allowOverlap="1" wp14:anchorId="7B00EEDA" wp14:editId="1752FA8A">
            <wp:simplePos x="0" y="0"/>
            <wp:positionH relativeFrom="column">
              <wp:posOffset>-1154723</wp:posOffset>
            </wp:positionH>
            <wp:positionV relativeFrom="paragraph">
              <wp:posOffset>-914400</wp:posOffset>
            </wp:positionV>
            <wp:extent cx="7795846" cy="10092192"/>
            <wp:effectExtent l="0" t="0" r="2540" b="4445"/>
            <wp:wrapNone/>
            <wp:docPr id="19466177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17749" name="Image 1946617749"/>
                    <pic:cNvPicPr/>
                  </pic:nvPicPr>
                  <pic:blipFill>
                    <a:blip r:embed="rId11">
                      <a:extLst>
                        <a:ext uri="{28A0092B-C50C-407E-A947-70E740481C1C}">
                          <a14:useLocalDpi xmlns:a14="http://schemas.microsoft.com/office/drawing/2010/main" val="0"/>
                        </a:ext>
                      </a:extLst>
                    </a:blip>
                    <a:stretch>
                      <a:fillRect/>
                    </a:stretch>
                  </pic:blipFill>
                  <pic:spPr>
                    <a:xfrm>
                      <a:off x="0" y="0"/>
                      <a:ext cx="7801502" cy="10099515"/>
                    </a:xfrm>
                    <a:prstGeom prst="rect">
                      <a:avLst/>
                    </a:prstGeom>
                  </pic:spPr>
                </pic:pic>
              </a:graphicData>
            </a:graphic>
            <wp14:sizeRelH relativeFrom="page">
              <wp14:pctWidth>0</wp14:pctWidth>
            </wp14:sizeRelH>
            <wp14:sizeRelV relativeFrom="page">
              <wp14:pctHeight>0</wp14:pctHeight>
            </wp14:sizeRelV>
          </wp:anchor>
        </w:drawing>
      </w:r>
    </w:p>
    <w:p w14:paraId="14A1CD2C" w14:textId="2055A404" w:rsidR="0064229F" w:rsidRDefault="0064229F" w:rsidP="0064229F">
      <w:pPr>
        <w:pStyle w:val="Titre"/>
        <w:rPr>
          <w:rFonts w:ascii="Work Sans" w:hAnsi="Work Sans"/>
          <w:bCs/>
          <w:color w:val="DAC191" w:themeColor="accent3"/>
        </w:rPr>
      </w:pPr>
    </w:p>
    <w:p w14:paraId="1E48C7E9" w14:textId="02EC96B6" w:rsidR="0064229F" w:rsidRDefault="0064229F" w:rsidP="0064229F">
      <w:pPr>
        <w:pStyle w:val="Titre"/>
        <w:rPr>
          <w:rFonts w:ascii="Work Sans" w:hAnsi="Work Sans"/>
          <w:bCs/>
          <w:color w:val="DAC191" w:themeColor="accent3"/>
        </w:rPr>
      </w:pPr>
    </w:p>
    <w:p w14:paraId="6929EE96" w14:textId="25961C60" w:rsidR="0064229F" w:rsidRDefault="0064229F" w:rsidP="0064229F">
      <w:pPr>
        <w:pStyle w:val="Titre"/>
        <w:rPr>
          <w:rFonts w:ascii="Work Sans" w:hAnsi="Work Sans"/>
          <w:bCs/>
          <w:color w:val="DAC191" w:themeColor="accent3"/>
        </w:rPr>
      </w:pPr>
    </w:p>
    <w:p w14:paraId="08B2F27F" w14:textId="2E12FBBE" w:rsidR="0064229F" w:rsidRDefault="0064229F" w:rsidP="0064229F">
      <w:pPr>
        <w:pStyle w:val="Titre"/>
        <w:rPr>
          <w:rFonts w:ascii="Work Sans" w:hAnsi="Work Sans"/>
          <w:bCs/>
          <w:color w:val="DAC191" w:themeColor="accent3"/>
        </w:rPr>
      </w:pPr>
    </w:p>
    <w:p w14:paraId="540DAB3B" w14:textId="1A3F6B96" w:rsidR="0064229F" w:rsidRDefault="0064229F" w:rsidP="0064229F">
      <w:pPr>
        <w:pStyle w:val="Titre"/>
        <w:rPr>
          <w:rFonts w:ascii="Work Sans" w:hAnsi="Work Sans"/>
          <w:bCs/>
          <w:color w:val="DAC191" w:themeColor="accent3"/>
        </w:rPr>
      </w:pPr>
    </w:p>
    <w:p w14:paraId="27FC9CDF" w14:textId="6A934D8B" w:rsidR="41290EC2" w:rsidRPr="005F1004" w:rsidRDefault="41290EC2" w:rsidP="005F1004">
      <w:pPr>
        <w:pStyle w:val="Titre"/>
        <w:rPr>
          <w:color w:val="DAC191" w:themeColor="accent3"/>
        </w:rPr>
      </w:pPr>
      <w:r w:rsidRPr="005F1004">
        <w:rPr>
          <w:color w:val="DAC191" w:themeColor="accent3"/>
        </w:rPr>
        <w:t>Politique des conditions de travail</w:t>
      </w:r>
    </w:p>
    <w:p w14:paraId="2D5D102A" w14:textId="77777777" w:rsidR="0064229F" w:rsidRDefault="0064229F" w:rsidP="0064229F"/>
    <w:p w14:paraId="4F3F554B" w14:textId="5B406D62" w:rsidR="67CA1D56" w:rsidRDefault="67CA1D56" w:rsidP="71D30AF0">
      <w:pPr>
        <w:rPr>
          <w:rFonts w:ascii="Calibri" w:eastAsia="Calibri" w:hAnsi="Calibri" w:cs="Calibri"/>
          <w:b/>
          <w:bCs/>
          <w:color w:val="003A60"/>
          <w:sz w:val="24"/>
        </w:rPr>
      </w:pPr>
      <w:r w:rsidRPr="71D30AF0">
        <w:t>Adoptée en CAE le 29 novembre 2022</w:t>
      </w:r>
    </w:p>
    <w:p w14:paraId="12B4E48E" w14:textId="6FD6433B" w:rsidR="67CA1D56" w:rsidRDefault="67CA1D56" w:rsidP="71D30AF0">
      <w:pPr>
        <w:rPr>
          <w:rFonts w:ascii="Calibri" w:eastAsia="Calibri" w:hAnsi="Calibri" w:cs="Calibri"/>
          <w:b/>
          <w:bCs/>
          <w:color w:val="003A60"/>
          <w:sz w:val="24"/>
        </w:rPr>
      </w:pPr>
      <w:r w:rsidRPr="71D30AF0">
        <w:t>Mise à jour 1 : adoptée au CA le 16 novembre 2023</w:t>
      </w:r>
    </w:p>
    <w:p w14:paraId="0CDA0A7E" w14:textId="025CD3D2" w:rsidR="67CA1D56" w:rsidRDefault="67CA1D56" w:rsidP="71D30AF0">
      <w:r w:rsidRPr="71D30AF0">
        <w:t xml:space="preserve">Mise à jour 2 : adoptée au CA </w:t>
      </w:r>
      <w:r w:rsidR="16ED24D8" w:rsidRPr="71D30AF0">
        <w:t xml:space="preserve">le </w:t>
      </w:r>
      <w:r w:rsidRPr="71D30AF0">
        <w:t>19 juin 2025</w:t>
      </w:r>
    </w:p>
    <w:p w14:paraId="379A3FD7" w14:textId="77777777" w:rsidR="003324AE" w:rsidRDefault="003324AE" w:rsidP="71D30AF0"/>
    <w:p w14:paraId="6F43CFEB" w14:textId="77777777" w:rsidR="003324AE" w:rsidRDefault="003324AE" w:rsidP="003324AE">
      <w:pPr>
        <w:rPr>
          <w:rFonts w:ascii="system-ui" w:hAnsi="system-ui"/>
          <w:color w:val="374151"/>
        </w:rPr>
      </w:pPr>
      <w:r>
        <w:rPr>
          <w:rFonts w:ascii="system-ui" w:hAnsi="system-ui"/>
          <w:color w:val="374151"/>
        </w:rPr>
        <w:t xml:space="preserve">Les termes de ce document sont régis par la licence </w:t>
      </w:r>
      <w:r>
        <w:rPr>
          <w:rFonts w:ascii="system-ui" w:hAnsi="system-ui"/>
          <w:color w:val="374151"/>
        </w:rPr>
        <w:br/>
        <w:t xml:space="preserve">Creative Commons Attribution – </w:t>
      </w:r>
      <w:proofErr w:type="spellStart"/>
      <w:r>
        <w:rPr>
          <w:rFonts w:ascii="system-ui" w:hAnsi="system-ui"/>
          <w:color w:val="374151"/>
        </w:rPr>
        <w:t>NonCommercial</w:t>
      </w:r>
      <w:proofErr w:type="spellEnd"/>
      <w:r>
        <w:rPr>
          <w:rFonts w:ascii="system-ui" w:hAnsi="system-ui"/>
          <w:color w:val="374151"/>
        </w:rPr>
        <w:t xml:space="preserve"> </w:t>
      </w:r>
    </w:p>
    <w:p w14:paraId="5058A5D8" w14:textId="1DD3342E" w:rsidR="71D30AF0" w:rsidRPr="003324AE" w:rsidRDefault="003324AE" w:rsidP="71D30AF0">
      <w:pPr>
        <w:rPr>
          <w:sz w:val="32"/>
          <w:szCs w:val="32"/>
          <w:lang w:val="en-CA"/>
        </w:rPr>
      </w:pPr>
      <w:r>
        <w:rPr>
          <w:rFonts w:ascii="system-ui" w:hAnsi="system-ui"/>
          <w:noProof/>
          <w:color w:val="374151"/>
        </w:rPr>
        <w:drawing>
          <wp:anchor distT="0" distB="0" distL="114300" distR="114300" simplePos="0" relativeHeight="251660288" behindDoc="0" locked="0" layoutInCell="1" allowOverlap="1" wp14:anchorId="7DC7FED7" wp14:editId="7C887756">
            <wp:simplePos x="0" y="0"/>
            <wp:positionH relativeFrom="column">
              <wp:posOffset>40005</wp:posOffset>
            </wp:positionH>
            <wp:positionV relativeFrom="paragraph">
              <wp:posOffset>300355</wp:posOffset>
            </wp:positionV>
            <wp:extent cx="1273387" cy="447675"/>
            <wp:effectExtent l="0" t="0" r="3175" b="0"/>
            <wp:wrapNone/>
            <wp:docPr id="2097688384"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387" cy="447675"/>
                    </a:xfrm>
                    <a:prstGeom prst="rect">
                      <a:avLst/>
                    </a:prstGeom>
                  </pic:spPr>
                </pic:pic>
              </a:graphicData>
            </a:graphic>
            <wp14:sizeRelH relativeFrom="page">
              <wp14:pctWidth>0</wp14:pctWidth>
            </wp14:sizeRelH>
            <wp14:sizeRelV relativeFrom="page">
              <wp14:pctHeight>0</wp14:pctHeight>
            </wp14:sizeRelV>
          </wp:anchor>
        </w:drawing>
      </w:r>
      <w:r w:rsidRPr="00D8487E">
        <w:rPr>
          <w:rFonts w:ascii="system-ui" w:hAnsi="system-ui"/>
          <w:color w:val="374151"/>
          <w:lang w:val="en-CA"/>
        </w:rPr>
        <w:t xml:space="preserve">– </w:t>
      </w:r>
      <w:proofErr w:type="spellStart"/>
      <w:r w:rsidRPr="00D8487E">
        <w:rPr>
          <w:rFonts w:ascii="system-ui" w:hAnsi="system-ui"/>
          <w:color w:val="374151"/>
          <w:lang w:val="en-CA"/>
        </w:rPr>
        <w:t>ShareAlike</w:t>
      </w:r>
      <w:proofErr w:type="spellEnd"/>
      <w:r w:rsidRPr="00D8487E">
        <w:rPr>
          <w:rFonts w:ascii="system-ui" w:hAnsi="system-ui"/>
          <w:color w:val="374151"/>
          <w:lang w:val="en-CA"/>
        </w:rPr>
        <w:t xml:space="preserve"> (CC BY-NC-SA)</w:t>
      </w:r>
      <w:r w:rsidRPr="00D8487E">
        <w:rPr>
          <w:lang w:val="en-CA"/>
        </w:rPr>
        <w:br/>
      </w:r>
      <w:r w:rsidRPr="00D8487E">
        <w:rPr>
          <w:lang w:val="en-CA"/>
        </w:rPr>
        <w:br/>
        <w:t> </w:t>
      </w:r>
    </w:p>
    <w:sdt>
      <w:sdtPr>
        <w:id w:val="1488404116"/>
        <w:docPartObj>
          <w:docPartGallery w:val="Table of Contents"/>
          <w:docPartUnique/>
        </w:docPartObj>
      </w:sdtPr>
      <w:sdtEndPr/>
      <w:sdtContent>
        <w:p w14:paraId="3FF6ADD3" w14:textId="5685114B" w:rsidR="005F1004" w:rsidRDefault="71D30AF0">
          <w:pPr>
            <w:pStyle w:val="TM1"/>
            <w:tabs>
              <w:tab w:val="right" w:leader="dot" w:pos="8630"/>
            </w:tabs>
            <w:rPr>
              <w:rFonts w:asciiTheme="minorHAnsi" w:eastAsiaTheme="minorEastAsia" w:hAnsiTheme="minorHAnsi"/>
              <w:noProof/>
              <w:sz w:val="24"/>
              <w:lang w:eastAsia="fr-CA"/>
            </w:rPr>
          </w:pPr>
          <w:r>
            <w:fldChar w:fldCharType="begin"/>
          </w:r>
          <w:r>
            <w:instrText>TOC \o \z \u \h</w:instrText>
          </w:r>
          <w:r>
            <w:fldChar w:fldCharType="separate"/>
          </w:r>
          <w:hyperlink w:anchor="_Toc223443523" w:history="1">
            <w:r w:rsidR="005F1004" w:rsidRPr="001111D6">
              <w:rPr>
                <w:rStyle w:val="Hyperlien"/>
                <w:noProof/>
              </w:rPr>
              <w:t>1| Préambule — Un cadre de travail aligné sur nos valeurs et engagements</w:t>
            </w:r>
            <w:r w:rsidR="005F1004">
              <w:rPr>
                <w:noProof/>
                <w:webHidden/>
              </w:rPr>
              <w:tab/>
            </w:r>
            <w:r w:rsidR="005F1004">
              <w:rPr>
                <w:noProof/>
                <w:webHidden/>
              </w:rPr>
              <w:fldChar w:fldCharType="begin"/>
            </w:r>
            <w:r w:rsidR="005F1004">
              <w:rPr>
                <w:noProof/>
                <w:webHidden/>
              </w:rPr>
              <w:instrText xml:space="preserve"> PAGEREF _Toc223443523 \h </w:instrText>
            </w:r>
            <w:r w:rsidR="005F1004">
              <w:rPr>
                <w:noProof/>
                <w:webHidden/>
              </w:rPr>
            </w:r>
            <w:r w:rsidR="005F1004">
              <w:rPr>
                <w:noProof/>
                <w:webHidden/>
              </w:rPr>
              <w:fldChar w:fldCharType="separate"/>
            </w:r>
            <w:r w:rsidR="005F1004">
              <w:rPr>
                <w:noProof/>
                <w:webHidden/>
              </w:rPr>
              <w:t>4</w:t>
            </w:r>
            <w:r w:rsidR="005F1004">
              <w:rPr>
                <w:noProof/>
                <w:webHidden/>
              </w:rPr>
              <w:fldChar w:fldCharType="end"/>
            </w:r>
          </w:hyperlink>
        </w:p>
        <w:p w14:paraId="75773C0F" w14:textId="62A641A0" w:rsidR="005F1004" w:rsidRDefault="005F1004">
          <w:pPr>
            <w:pStyle w:val="TM1"/>
            <w:tabs>
              <w:tab w:val="right" w:leader="dot" w:pos="8630"/>
            </w:tabs>
            <w:rPr>
              <w:rFonts w:asciiTheme="minorHAnsi" w:eastAsiaTheme="minorEastAsia" w:hAnsiTheme="minorHAnsi"/>
              <w:noProof/>
              <w:sz w:val="24"/>
              <w:lang w:eastAsia="fr-CA"/>
            </w:rPr>
          </w:pPr>
          <w:hyperlink w:anchor="_Toc223443524" w:history="1">
            <w:r w:rsidRPr="001111D6">
              <w:rPr>
                <w:rStyle w:val="Hyperlien"/>
                <w:noProof/>
              </w:rPr>
              <w:t>2| Introduction – portée et application</w:t>
            </w:r>
            <w:r>
              <w:rPr>
                <w:noProof/>
                <w:webHidden/>
              </w:rPr>
              <w:tab/>
            </w:r>
            <w:r>
              <w:rPr>
                <w:noProof/>
                <w:webHidden/>
              </w:rPr>
              <w:fldChar w:fldCharType="begin"/>
            </w:r>
            <w:r>
              <w:rPr>
                <w:noProof/>
                <w:webHidden/>
              </w:rPr>
              <w:instrText xml:space="preserve"> PAGEREF _Toc223443524 \h </w:instrText>
            </w:r>
            <w:r>
              <w:rPr>
                <w:noProof/>
                <w:webHidden/>
              </w:rPr>
            </w:r>
            <w:r>
              <w:rPr>
                <w:noProof/>
                <w:webHidden/>
              </w:rPr>
              <w:fldChar w:fldCharType="separate"/>
            </w:r>
            <w:r>
              <w:rPr>
                <w:noProof/>
                <w:webHidden/>
              </w:rPr>
              <w:t>4</w:t>
            </w:r>
            <w:r>
              <w:rPr>
                <w:noProof/>
                <w:webHidden/>
              </w:rPr>
              <w:fldChar w:fldCharType="end"/>
            </w:r>
          </w:hyperlink>
        </w:p>
        <w:p w14:paraId="7A48056E" w14:textId="2441992D" w:rsidR="005F1004" w:rsidRDefault="005F1004">
          <w:pPr>
            <w:pStyle w:val="TM1"/>
            <w:tabs>
              <w:tab w:val="right" w:leader="dot" w:pos="8630"/>
            </w:tabs>
            <w:rPr>
              <w:rFonts w:asciiTheme="minorHAnsi" w:eastAsiaTheme="minorEastAsia" w:hAnsiTheme="minorHAnsi"/>
              <w:noProof/>
              <w:sz w:val="24"/>
              <w:lang w:eastAsia="fr-CA"/>
            </w:rPr>
          </w:pPr>
          <w:hyperlink w:anchor="_Toc223443525" w:history="1">
            <w:r w:rsidRPr="001111D6">
              <w:rPr>
                <w:rStyle w:val="Hyperlien"/>
                <w:noProof/>
              </w:rPr>
              <w:t>3| Définitions</w:t>
            </w:r>
            <w:r>
              <w:rPr>
                <w:noProof/>
                <w:webHidden/>
              </w:rPr>
              <w:tab/>
            </w:r>
            <w:r>
              <w:rPr>
                <w:noProof/>
                <w:webHidden/>
              </w:rPr>
              <w:fldChar w:fldCharType="begin"/>
            </w:r>
            <w:r>
              <w:rPr>
                <w:noProof/>
                <w:webHidden/>
              </w:rPr>
              <w:instrText xml:space="preserve"> PAGEREF _Toc223443525 \h </w:instrText>
            </w:r>
            <w:r>
              <w:rPr>
                <w:noProof/>
                <w:webHidden/>
              </w:rPr>
            </w:r>
            <w:r>
              <w:rPr>
                <w:noProof/>
                <w:webHidden/>
              </w:rPr>
              <w:fldChar w:fldCharType="separate"/>
            </w:r>
            <w:r>
              <w:rPr>
                <w:noProof/>
                <w:webHidden/>
              </w:rPr>
              <w:t>5</w:t>
            </w:r>
            <w:r>
              <w:rPr>
                <w:noProof/>
                <w:webHidden/>
              </w:rPr>
              <w:fldChar w:fldCharType="end"/>
            </w:r>
          </w:hyperlink>
        </w:p>
        <w:p w14:paraId="38054213" w14:textId="61E88DC5" w:rsidR="005F1004" w:rsidRDefault="005F1004">
          <w:pPr>
            <w:pStyle w:val="TM1"/>
            <w:tabs>
              <w:tab w:val="right" w:leader="dot" w:pos="8630"/>
            </w:tabs>
            <w:rPr>
              <w:rFonts w:asciiTheme="minorHAnsi" w:eastAsiaTheme="minorEastAsia" w:hAnsiTheme="minorHAnsi"/>
              <w:noProof/>
              <w:sz w:val="24"/>
              <w:lang w:eastAsia="fr-CA"/>
            </w:rPr>
          </w:pPr>
          <w:hyperlink w:anchor="_Toc223443526" w:history="1">
            <w:r w:rsidRPr="001111D6">
              <w:rPr>
                <w:rStyle w:val="Hyperlien"/>
                <w:noProof/>
              </w:rPr>
              <w:t>4| Principes directeurs</w:t>
            </w:r>
            <w:r>
              <w:rPr>
                <w:noProof/>
                <w:webHidden/>
              </w:rPr>
              <w:tab/>
            </w:r>
            <w:r>
              <w:rPr>
                <w:noProof/>
                <w:webHidden/>
              </w:rPr>
              <w:fldChar w:fldCharType="begin"/>
            </w:r>
            <w:r>
              <w:rPr>
                <w:noProof/>
                <w:webHidden/>
              </w:rPr>
              <w:instrText xml:space="preserve"> PAGEREF _Toc223443526 \h </w:instrText>
            </w:r>
            <w:r>
              <w:rPr>
                <w:noProof/>
                <w:webHidden/>
              </w:rPr>
            </w:r>
            <w:r>
              <w:rPr>
                <w:noProof/>
                <w:webHidden/>
              </w:rPr>
              <w:fldChar w:fldCharType="separate"/>
            </w:r>
            <w:r>
              <w:rPr>
                <w:noProof/>
                <w:webHidden/>
              </w:rPr>
              <w:t>5</w:t>
            </w:r>
            <w:r>
              <w:rPr>
                <w:noProof/>
                <w:webHidden/>
              </w:rPr>
              <w:fldChar w:fldCharType="end"/>
            </w:r>
          </w:hyperlink>
        </w:p>
        <w:p w14:paraId="3CC4A925" w14:textId="07A94FAE" w:rsidR="005F1004" w:rsidRDefault="005F1004">
          <w:pPr>
            <w:pStyle w:val="TM1"/>
            <w:tabs>
              <w:tab w:val="right" w:leader="dot" w:pos="8630"/>
            </w:tabs>
            <w:rPr>
              <w:rFonts w:asciiTheme="minorHAnsi" w:eastAsiaTheme="minorEastAsia" w:hAnsiTheme="minorHAnsi"/>
              <w:noProof/>
              <w:sz w:val="24"/>
              <w:lang w:eastAsia="fr-CA"/>
            </w:rPr>
          </w:pPr>
          <w:hyperlink w:anchor="_Toc223443527" w:history="1">
            <w:r w:rsidRPr="001111D6">
              <w:rPr>
                <w:rStyle w:val="Hyperlien"/>
                <w:noProof/>
              </w:rPr>
              <w:t>5| Temps de travail</w:t>
            </w:r>
            <w:r>
              <w:rPr>
                <w:noProof/>
                <w:webHidden/>
              </w:rPr>
              <w:tab/>
            </w:r>
            <w:r>
              <w:rPr>
                <w:noProof/>
                <w:webHidden/>
              </w:rPr>
              <w:fldChar w:fldCharType="begin"/>
            </w:r>
            <w:r>
              <w:rPr>
                <w:noProof/>
                <w:webHidden/>
              </w:rPr>
              <w:instrText xml:space="preserve"> PAGEREF _Toc223443527 \h </w:instrText>
            </w:r>
            <w:r>
              <w:rPr>
                <w:noProof/>
                <w:webHidden/>
              </w:rPr>
            </w:r>
            <w:r>
              <w:rPr>
                <w:noProof/>
                <w:webHidden/>
              </w:rPr>
              <w:fldChar w:fldCharType="separate"/>
            </w:r>
            <w:r>
              <w:rPr>
                <w:noProof/>
                <w:webHidden/>
              </w:rPr>
              <w:t>6</w:t>
            </w:r>
            <w:r>
              <w:rPr>
                <w:noProof/>
                <w:webHidden/>
              </w:rPr>
              <w:fldChar w:fldCharType="end"/>
            </w:r>
          </w:hyperlink>
        </w:p>
        <w:p w14:paraId="5F99CCE7" w14:textId="2D36AE5F" w:rsidR="005F1004" w:rsidRDefault="005F1004">
          <w:pPr>
            <w:pStyle w:val="TM2"/>
            <w:tabs>
              <w:tab w:val="right" w:leader="dot" w:pos="8630"/>
            </w:tabs>
            <w:rPr>
              <w:rFonts w:asciiTheme="minorHAnsi" w:eastAsiaTheme="minorEastAsia" w:hAnsiTheme="minorHAnsi"/>
              <w:noProof/>
              <w:sz w:val="24"/>
              <w:lang w:eastAsia="fr-CA"/>
            </w:rPr>
          </w:pPr>
          <w:hyperlink w:anchor="_Toc223443528" w:history="1">
            <w:r w:rsidRPr="001111D6">
              <w:rPr>
                <w:rStyle w:val="Hyperlien"/>
                <w:bCs/>
                <w:noProof/>
              </w:rPr>
              <w:t>Définition du temps de travail</w:t>
            </w:r>
            <w:r>
              <w:rPr>
                <w:noProof/>
                <w:webHidden/>
              </w:rPr>
              <w:tab/>
            </w:r>
            <w:r>
              <w:rPr>
                <w:noProof/>
                <w:webHidden/>
              </w:rPr>
              <w:fldChar w:fldCharType="begin"/>
            </w:r>
            <w:r>
              <w:rPr>
                <w:noProof/>
                <w:webHidden/>
              </w:rPr>
              <w:instrText xml:space="preserve"> PAGEREF _Toc223443528 \h </w:instrText>
            </w:r>
            <w:r>
              <w:rPr>
                <w:noProof/>
                <w:webHidden/>
              </w:rPr>
            </w:r>
            <w:r>
              <w:rPr>
                <w:noProof/>
                <w:webHidden/>
              </w:rPr>
              <w:fldChar w:fldCharType="separate"/>
            </w:r>
            <w:r>
              <w:rPr>
                <w:noProof/>
                <w:webHidden/>
              </w:rPr>
              <w:t>6</w:t>
            </w:r>
            <w:r>
              <w:rPr>
                <w:noProof/>
                <w:webHidden/>
              </w:rPr>
              <w:fldChar w:fldCharType="end"/>
            </w:r>
          </w:hyperlink>
        </w:p>
        <w:p w14:paraId="2A56994E" w14:textId="26584FE0" w:rsidR="005F1004" w:rsidRDefault="005F1004">
          <w:pPr>
            <w:pStyle w:val="TM2"/>
            <w:tabs>
              <w:tab w:val="right" w:leader="dot" w:pos="8630"/>
            </w:tabs>
            <w:rPr>
              <w:rFonts w:asciiTheme="minorHAnsi" w:eastAsiaTheme="minorEastAsia" w:hAnsiTheme="minorHAnsi"/>
              <w:noProof/>
              <w:sz w:val="24"/>
              <w:lang w:eastAsia="fr-CA"/>
            </w:rPr>
          </w:pPr>
          <w:hyperlink w:anchor="_Toc223443529" w:history="1">
            <w:r w:rsidRPr="001111D6">
              <w:rPr>
                <w:rStyle w:val="Hyperlien"/>
                <w:noProof/>
              </w:rPr>
              <w:t>Horaire de travail</w:t>
            </w:r>
            <w:r>
              <w:rPr>
                <w:noProof/>
                <w:webHidden/>
              </w:rPr>
              <w:tab/>
            </w:r>
            <w:r>
              <w:rPr>
                <w:noProof/>
                <w:webHidden/>
              </w:rPr>
              <w:fldChar w:fldCharType="begin"/>
            </w:r>
            <w:r>
              <w:rPr>
                <w:noProof/>
                <w:webHidden/>
              </w:rPr>
              <w:instrText xml:space="preserve"> PAGEREF _Toc223443529 \h </w:instrText>
            </w:r>
            <w:r>
              <w:rPr>
                <w:noProof/>
                <w:webHidden/>
              </w:rPr>
            </w:r>
            <w:r>
              <w:rPr>
                <w:noProof/>
                <w:webHidden/>
              </w:rPr>
              <w:fldChar w:fldCharType="separate"/>
            </w:r>
            <w:r>
              <w:rPr>
                <w:noProof/>
                <w:webHidden/>
              </w:rPr>
              <w:t>6</w:t>
            </w:r>
            <w:r>
              <w:rPr>
                <w:noProof/>
                <w:webHidden/>
              </w:rPr>
              <w:fldChar w:fldCharType="end"/>
            </w:r>
          </w:hyperlink>
        </w:p>
        <w:p w14:paraId="57440194" w14:textId="188C2E8F" w:rsidR="005F1004" w:rsidRDefault="005F1004">
          <w:pPr>
            <w:pStyle w:val="TM2"/>
            <w:tabs>
              <w:tab w:val="right" w:leader="dot" w:pos="8630"/>
            </w:tabs>
            <w:rPr>
              <w:rFonts w:asciiTheme="minorHAnsi" w:eastAsiaTheme="minorEastAsia" w:hAnsiTheme="minorHAnsi"/>
              <w:noProof/>
              <w:sz w:val="24"/>
              <w:lang w:eastAsia="fr-CA"/>
            </w:rPr>
          </w:pPr>
          <w:hyperlink w:anchor="_Toc223443530" w:history="1">
            <w:r w:rsidRPr="001111D6">
              <w:rPr>
                <w:rStyle w:val="Hyperlien"/>
                <w:noProof/>
              </w:rPr>
              <w:t>Télétravail</w:t>
            </w:r>
            <w:r>
              <w:rPr>
                <w:noProof/>
                <w:webHidden/>
              </w:rPr>
              <w:tab/>
            </w:r>
            <w:r>
              <w:rPr>
                <w:noProof/>
                <w:webHidden/>
              </w:rPr>
              <w:fldChar w:fldCharType="begin"/>
            </w:r>
            <w:r>
              <w:rPr>
                <w:noProof/>
                <w:webHidden/>
              </w:rPr>
              <w:instrText xml:space="preserve"> PAGEREF _Toc223443530 \h </w:instrText>
            </w:r>
            <w:r>
              <w:rPr>
                <w:noProof/>
                <w:webHidden/>
              </w:rPr>
            </w:r>
            <w:r>
              <w:rPr>
                <w:noProof/>
                <w:webHidden/>
              </w:rPr>
              <w:fldChar w:fldCharType="separate"/>
            </w:r>
            <w:r>
              <w:rPr>
                <w:noProof/>
                <w:webHidden/>
              </w:rPr>
              <w:t>7</w:t>
            </w:r>
            <w:r>
              <w:rPr>
                <w:noProof/>
                <w:webHidden/>
              </w:rPr>
              <w:fldChar w:fldCharType="end"/>
            </w:r>
          </w:hyperlink>
        </w:p>
        <w:p w14:paraId="66FD661A" w14:textId="1EE4F176" w:rsidR="005F1004" w:rsidRDefault="005F1004">
          <w:pPr>
            <w:pStyle w:val="TM2"/>
            <w:tabs>
              <w:tab w:val="right" w:leader="dot" w:pos="8630"/>
            </w:tabs>
            <w:rPr>
              <w:rFonts w:asciiTheme="minorHAnsi" w:eastAsiaTheme="minorEastAsia" w:hAnsiTheme="minorHAnsi"/>
              <w:noProof/>
              <w:sz w:val="24"/>
              <w:lang w:eastAsia="fr-CA"/>
            </w:rPr>
          </w:pPr>
          <w:hyperlink w:anchor="_Toc223443531" w:history="1">
            <w:r w:rsidRPr="001111D6">
              <w:rPr>
                <w:rStyle w:val="Hyperlien"/>
                <w:noProof/>
              </w:rPr>
              <w:t>Événements</w:t>
            </w:r>
            <w:r>
              <w:rPr>
                <w:noProof/>
                <w:webHidden/>
              </w:rPr>
              <w:tab/>
            </w:r>
            <w:r>
              <w:rPr>
                <w:noProof/>
                <w:webHidden/>
              </w:rPr>
              <w:fldChar w:fldCharType="begin"/>
            </w:r>
            <w:r>
              <w:rPr>
                <w:noProof/>
                <w:webHidden/>
              </w:rPr>
              <w:instrText xml:space="preserve"> PAGEREF _Toc223443531 \h </w:instrText>
            </w:r>
            <w:r>
              <w:rPr>
                <w:noProof/>
                <w:webHidden/>
              </w:rPr>
            </w:r>
            <w:r>
              <w:rPr>
                <w:noProof/>
                <w:webHidden/>
              </w:rPr>
              <w:fldChar w:fldCharType="separate"/>
            </w:r>
            <w:r>
              <w:rPr>
                <w:noProof/>
                <w:webHidden/>
              </w:rPr>
              <w:t>7</w:t>
            </w:r>
            <w:r>
              <w:rPr>
                <w:noProof/>
                <w:webHidden/>
              </w:rPr>
              <w:fldChar w:fldCharType="end"/>
            </w:r>
          </w:hyperlink>
        </w:p>
        <w:p w14:paraId="2242DD65" w14:textId="0E805318" w:rsidR="005F1004" w:rsidRDefault="005F1004">
          <w:pPr>
            <w:pStyle w:val="TM2"/>
            <w:tabs>
              <w:tab w:val="right" w:leader="dot" w:pos="8630"/>
            </w:tabs>
            <w:rPr>
              <w:rFonts w:asciiTheme="minorHAnsi" w:eastAsiaTheme="minorEastAsia" w:hAnsiTheme="minorHAnsi"/>
              <w:noProof/>
              <w:sz w:val="24"/>
              <w:lang w:eastAsia="fr-CA"/>
            </w:rPr>
          </w:pPr>
          <w:hyperlink w:anchor="_Toc223443532" w:history="1">
            <w:r w:rsidRPr="001111D6">
              <w:rPr>
                <w:rStyle w:val="Hyperlien"/>
                <w:noProof/>
              </w:rPr>
              <w:t>Déconnexion et hyperconnectivité</w:t>
            </w:r>
            <w:r>
              <w:rPr>
                <w:noProof/>
                <w:webHidden/>
              </w:rPr>
              <w:tab/>
            </w:r>
            <w:r>
              <w:rPr>
                <w:noProof/>
                <w:webHidden/>
              </w:rPr>
              <w:fldChar w:fldCharType="begin"/>
            </w:r>
            <w:r>
              <w:rPr>
                <w:noProof/>
                <w:webHidden/>
              </w:rPr>
              <w:instrText xml:space="preserve"> PAGEREF _Toc223443532 \h </w:instrText>
            </w:r>
            <w:r>
              <w:rPr>
                <w:noProof/>
                <w:webHidden/>
              </w:rPr>
            </w:r>
            <w:r>
              <w:rPr>
                <w:noProof/>
                <w:webHidden/>
              </w:rPr>
              <w:fldChar w:fldCharType="separate"/>
            </w:r>
            <w:r>
              <w:rPr>
                <w:noProof/>
                <w:webHidden/>
              </w:rPr>
              <w:t>7</w:t>
            </w:r>
            <w:r>
              <w:rPr>
                <w:noProof/>
                <w:webHidden/>
              </w:rPr>
              <w:fldChar w:fldCharType="end"/>
            </w:r>
          </w:hyperlink>
        </w:p>
        <w:p w14:paraId="7A343F62" w14:textId="66956AC0" w:rsidR="005F1004" w:rsidRDefault="005F1004">
          <w:pPr>
            <w:pStyle w:val="TM2"/>
            <w:tabs>
              <w:tab w:val="right" w:leader="dot" w:pos="8630"/>
            </w:tabs>
            <w:rPr>
              <w:rFonts w:asciiTheme="minorHAnsi" w:eastAsiaTheme="minorEastAsia" w:hAnsiTheme="minorHAnsi"/>
              <w:noProof/>
              <w:sz w:val="24"/>
              <w:lang w:eastAsia="fr-CA"/>
            </w:rPr>
          </w:pPr>
          <w:hyperlink w:anchor="_Toc223443533" w:history="1">
            <w:r w:rsidRPr="001111D6">
              <w:rPr>
                <w:rStyle w:val="Hyperlien"/>
                <w:noProof/>
              </w:rPr>
              <w:t>Temps supplémentaire</w:t>
            </w:r>
            <w:r>
              <w:rPr>
                <w:noProof/>
                <w:webHidden/>
              </w:rPr>
              <w:tab/>
            </w:r>
            <w:r>
              <w:rPr>
                <w:noProof/>
                <w:webHidden/>
              </w:rPr>
              <w:fldChar w:fldCharType="begin"/>
            </w:r>
            <w:r>
              <w:rPr>
                <w:noProof/>
                <w:webHidden/>
              </w:rPr>
              <w:instrText xml:space="preserve"> PAGEREF _Toc223443533 \h </w:instrText>
            </w:r>
            <w:r>
              <w:rPr>
                <w:noProof/>
                <w:webHidden/>
              </w:rPr>
            </w:r>
            <w:r>
              <w:rPr>
                <w:noProof/>
                <w:webHidden/>
              </w:rPr>
              <w:fldChar w:fldCharType="separate"/>
            </w:r>
            <w:r>
              <w:rPr>
                <w:noProof/>
                <w:webHidden/>
              </w:rPr>
              <w:t>8</w:t>
            </w:r>
            <w:r>
              <w:rPr>
                <w:noProof/>
                <w:webHidden/>
              </w:rPr>
              <w:fldChar w:fldCharType="end"/>
            </w:r>
          </w:hyperlink>
        </w:p>
        <w:p w14:paraId="41708EAF" w14:textId="1A7C4C5A" w:rsidR="005F1004" w:rsidRDefault="005F1004">
          <w:pPr>
            <w:pStyle w:val="TM2"/>
            <w:tabs>
              <w:tab w:val="right" w:leader="dot" w:pos="8630"/>
            </w:tabs>
            <w:rPr>
              <w:rFonts w:asciiTheme="minorHAnsi" w:eastAsiaTheme="minorEastAsia" w:hAnsiTheme="minorHAnsi"/>
              <w:noProof/>
              <w:sz w:val="24"/>
              <w:lang w:eastAsia="fr-CA"/>
            </w:rPr>
          </w:pPr>
          <w:hyperlink w:anchor="_Toc223443534" w:history="1">
            <w:r w:rsidRPr="001111D6">
              <w:rPr>
                <w:rStyle w:val="Hyperlien"/>
                <w:noProof/>
                <w:lang w:val="fr-FR"/>
              </w:rPr>
              <w:t>Temps d’un déplacement exigé par la Fondation</w:t>
            </w:r>
            <w:r>
              <w:rPr>
                <w:noProof/>
                <w:webHidden/>
              </w:rPr>
              <w:tab/>
            </w:r>
            <w:r>
              <w:rPr>
                <w:noProof/>
                <w:webHidden/>
              </w:rPr>
              <w:fldChar w:fldCharType="begin"/>
            </w:r>
            <w:r>
              <w:rPr>
                <w:noProof/>
                <w:webHidden/>
              </w:rPr>
              <w:instrText xml:space="preserve"> PAGEREF _Toc223443534 \h </w:instrText>
            </w:r>
            <w:r>
              <w:rPr>
                <w:noProof/>
                <w:webHidden/>
              </w:rPr>
            </w:r>
            <w:r>
              <w:rPr>
                <w:noProof/>
                <w:webHidden/>
              </w:rPr>
              <w:fldChar w:fldCharType="separate"/>
            </w:r>
            <w:r>
              <w:rPr>
                <w:noProof/>
                <w:webHidden/>
              </w:rPr>
              <w:t>8</w:t>
            </w:r>
            <w:r>
              <w:rPr>
                <w:noProof/>
                <w:webHidden/>
              </w:rPr>
              <w:fldChar w:fldCharType="end"/>
            </w:r>
          </w:hyperlink>
        </w:p>
        <w:p w14:paraId="161EA1A0" w14:textId="1ED712B4" w:rsidR="005F1004" w:rsidRDefault="005F1004">
          <w:pPr>
            <w:pStyle w:val="TM1"/>
            <w:tabs>
              <w:tab w:val="right" w:leader="dot" w:pos="8630"/>
            </w:tabs>
            <w:rPr>
              <w:rFonts w:asciiTheme="minorHAnsi" w:eastAsiaTheme="minorEastAsia" w:hAnsiTheme="minorHAnsi"/>
              <w:noProof/>
              <w:sz w:val="24"/>
              <w:lang w:eastAsia="fr-CA"/>
            </w:rPr>
          </w:pPr>
          <w:hyperlink w:anchor="_Toc223443535" w:history="1">
            <w:r w:rsidRPr="001111D6">
              <w:rPr>
                <w:rStyle w:val="Hyperlien"/>
                <w:noProof/>
              </w:rPr>
              <w:t>6| Congés</w:t>
            </w:r>
            <w:r>
              <w:rPr>
                <w:noProof/>
                <w:webHidden/>
              </w:rPr>
              <w:tab/>
            </w:r>
            <w:r>
              <w:rPr>
                <w:noProof/>
                <w:webHidden/>
              </w:rPr>
              <w:fldChar w:fldCharType="begin"/>
            </w:r>
            <w:r>
              <w:rPr>
                <w:noProof/>
                <w:webHidden/>
              </w:rPr>
              <w:instrText xml:space="preserve"> PAGEREF _Toc223443535 \h </w:instrText>
            </w:r>
            <w:r>
              <w:rPr>
                <w:noProof/>
                <w:webHidden/>
              </w:rPr>
            </w:r>
            <w:r>
              <w:rPr>
                <w:noProof/>
                <w:webHidden/>
              </w:rPr>
              <w:fldChar w:fldCharType="separate"/>
            </w:r>
            <w:r>
              <w:rPr>
                <w:noProof/>
                <w:webHidden/>
              </w:rPr>
              <w:t>8</w:t>
            </w:r>
            <w:r>
              <w:rPr>
                <w:noProof/>
                <w:webHidden/>
              </w:rPr>
              <w:fldChar w:fldCharType="end"/>
            </w:r>
          </w:hyperlink>
        </w:p>
        <w:p w14:paraId="302B26A1" w14:textId="4D180859" w:rsidR="005F1004" w:rsidRDefault="005F1004">
          <w:pPr>
            <w:pStyle w:val="TM2"/>
            <w:tabs>
              <w:tab w:val="right" w:leader="dot" w:pos="8630"/>
            </w:tabs>
            <w:rPr>
              <w:rFonts w:asciiTheme="minorHAnsi" w:eastAsiaTheme="minorEastAsia" w:hAnsiTheme="minorHAnsi"/>
              <w:noProof/>
              <w:sz w:val="24"/>
              <w:lang w:eastAsia="fr-CA"/>
            </w:rPr>
          </w:pPr>
          <w:hyperlink w:anchor="_Toc223443536" w:history="1">
            <w:r w:rsidRPr="001111D6">
              <w:rPr>
                <w:rStyle w:val="Hyperlien"/>
                <w:noProof/>
              </w:rPr>
              <w:t>Congés annuels</w:t>
            </w:r>
            <w:r>
              <w:rPr>
                <w:noProof/>
                <w:webHidden/>
              </w:rPr>
              <w:tab/>
            </w:r>
            <w:r>
              <w:rPr>
                <w:noProof/>
                <w:webHidden/>
              </w:rPr>
              <w:fldChar w:fldCharType="begin"/>
            </w:r>
            <w:r>
              <w:rPr>
                <w:noProof/>
                <w:webHidden/>
              </w:rPr>
              <w:instrText xml:space="preserve"> PAGEREF _Toc223443536 \h </w:instrText>
            </w:r>
            <w:r>
              <w:rPr>
                <w:noProof/>
                <w:webHidden/>
              </w:rPr>
            </w:r>
            <w:r>
              <w:rPr>
                <w:noProof/>
                <w:webHidden/>
              </w:rPr>
              <w:fldChar w:fldCharType="separate"/>
            </w:r>
            <w:r>
              <w:rPr>
                <w:noProof/>
                <w:webHidden/>
              </w:rPr>
              <w:t>8</w:t>
            </w:r>
            <w:r>
              <w:rPr>
                <w:noProof/>
                <w:webHidden/>
              </w:rPr>
              <w:fldChar w:fldCharType="end"/>
            </w:r>
          </w:hyperlink>
        </w:p>
        <w:p w14:paraId="0275CE7A" w14:textId="172942E1" w:rsidR="005F1004" w:rsidRDefault="005F1004">
          <w:pPr>
            <w:pStyle w:val="TM2"/>
            <w:tabs>
              <w:tab w:val="right" w:leader="dot" w:pos="8630"/>
            </w:tabs>
            <w:rPr>
              <w:rFonts w:asciiTheme="minorHAnsi" w:eastAsiaTheme="minorEastAsia" w:hAnsiTheme="minorHAnsi"/>
              <w:noProof/>
              <w:sz w:val="24"/>
              <w:lang w:eastAsia="fr-CA"/>
            </w:rPr>
          </w:pPr>
          <w:hyperlink w:anchor="_Toc223443537" w:history="1">
            <w:r w:rsidRPr="001111D6">
              <w:rPr>
                <w:rStyle w:val="Hyperlien"/>
                <w:noProof/>
              </w:rPr>
              <w:t>Congé des fêtes</w:t>
            </w:r>
            <w:r>
              <w:rPr>
                <w:noProof/>
                <w:webHidden/>
              </w:rPr>
              <w:tab/>
            </w:r>
            <w:r>
              <w:rPr>
                <w:noProof/>
                <w:webHidden/>
              </w:rPr>
              <w:fldChar w:fldCharType="begin"/>
            </w:r>
            <w:r>
              <w:rPr>
                <w:noProof/>
                <w:webHidden/>
              </w:rPr>
              <w:instrText xml:space="preserve"> PAGEREF _Toc223443537 \h </w:instrText>
            </w:r>
            <w:r>
              <w:rPr>
                <w:noProof/>
                <w:webHidden/>
              </w:rPr>
            </w:r>
            <w:r>
              <w:rPr>
                <w:noProof/>
                <w:webHidden/>
              </w:rPr>
              <w:fldChar w:fldCharType="separate"/>
            </w:r>
            <w:r>
              <w:rPr>
                <w:noProof/>
                <w:webHidden/>
              </w:rPr>
              <w:t>9</w:t>
            </w:r>
            <w:r>
              <w:rPr>
                <w:noProof/>
                <w:webHidden/>
              </w:rPr>
              <w:fldChar w:fldCharType="end"/>
            </w:r>
          </w:hyperlink>
        </w:p>
        <w:p w14:paraId="7C7EC594" w14:textId="445FA4B8" w:rsidR="005F1004" w:rsidRDefault="005F1004">
          <w:pPr>
            <w:pStyle w:val="TM2"/>
            <w:tabs>
              <w:tab w:val="right" w:leader="dot" w:pos="8630"/>
            </w:tabs>
            <w:rPr>
              <w:rFonts w:asciiTheme="minorHAnsi" w:eastAsiaTheme="minorEastAsia" w:hAnsiTheme="minorHAnsi"/>
              <w:noProof/>
              <w:sz w:val="24"/>
              <w:lang w:eastAsia="fr-CA"/>
            </w:rPr>
          </w:pPr>
          <w:hyperlink w:anchor="_Toc223443538" w:history="1">
            <w:r w:rsidRPr="001111D6">
              <w:rPr>
                <w:rStyle w:val="Hyperlien"/>
                <w:noProof/>
              </w:rPr>
              <w:t>Congé parental et congé de maternité</w:t>
            </w:r>
            <w:r>
              <w:rPr>
                <w:noProof/>
                <w:webHidden/>
              </w:rPr>
              <w:tab/>
            </w:r>
            <w:r>
              <w:rPr>
                <w:noProof/>
                <w:webHidden/>
              </w:rPr>
              <w:fldChar w:fldCharType="begin"/>
            </w:r>
            <w:r>
              <w:rPr>
                <w:noProof/>
                <w:webHidden/>
              </w:rPr>
              <w:instrText xml:space="preserve"> PAGEREF _Toc223443538 \h </w:instrText>
            </w:r>
            <w:r>
              <w:rPr>
                <w:noProof/>
                <w:webHidden/>
              </w:rPr>
            </w:r>
            <w:r>
              <w:rPr>
                <w:noProof/>
                <w:webHidden/>
              </w:rPr>
              <w:fldChar w:fldCharType="separate"/>
            </w:r>
            <w:r>
              <w:rPr>
                <w:noProof/>
                <w:webHidden/>
              </w:rPr>
              <w:t>9</w:t>
            </w:r>
            <w:r>
              <w:rPr>
                <w:noProof/>
                <w:webHidden/>
              </w:rPr>
              <w:fldChar w:fldCharType="end"/>
            </w:r>
          </w:hyperlink>
        </w:p>
        <w:p w14:paraId="266EC5DE" w14:textId="1ECDD979" w:rsidR="005F1004" w:rsidRDefault="005F1004">
          <w:pPr>
            <w:pStyle w:val="TM2"/>
            <w:tabs>
              <w:tab w:val="right" w:leader="dot" w:pos="8630"/>
            </w:tabs>
            <w:rPr>
              <w:rFonts w:asciiTheme="minorHAnsi" w:eastAsiaTheme="minorEastAsia" w:hAnsiTheme="minorHAnsi"/>
              <w:noProof/>
              <w:sz w:val="24"/>
              <w:lang w:eastAsia="fr-CA"/>
            </w:rPr>
          </w:pPr>
          <w:hyperlink w:anchor="_Toc223443539" w:history="1">
            <w:r w:rsidRPr="001111D6">
              <w:rPr>
                <w:rStyle w:val="Hyperlien"/>
                <w:noProof/>
              </w:rPr>
              <w:t>Congés personnels et/ou de maladie</w:t>
            </w:r>
            <w:r>
              <w:rPr>
                <w:noProof/>
                <w:webHidden/>
              </w:rPr>
              <w:tab/>
            </w:r>
            <w:r>
              <w:rPr>
                <w:noProof/>
                <w:webHidden/>
              </w:rPr>
              <w:fldChar w:fldCharType="begin"/>
            </w:r>
            <w:r>
              <w:rPr>
                <w:noProof/>
                <w:webHidden/>
              </w:rPr>
              <w:instrText xml:space="preserve"> PAGEREF _Toc223443539 \h </w:instrText>
            </w:r>
            <w:r>
              <w:rPr>
                <w:noProof/>
                <w:webHidden/>
              </w:rPr>
            </w:r>
            <w:r>
              <w:rPr>
                <w:noProof/>
                <w:webHidden/>
              </w:rPr>
              <w:fldChar w:fldCharType="separate"/>
            </w:r>
            <w:r>
              <w:rPr>
                <w:noProof/>
                <w:webHidden/>
              </w:rPr>
              <w:t>9</w:t>
            </w:r>
            <w:r>
              <w:rPr>
                <w:noProof/>
                <w:webHidden/>
              </w:rPr>
              <w:fldChar w:fldCharType="end"/>
            </w:r>
          </w:hyperlink>
        </w:p>
        <w:p w14:paraId="02A98CE0" w14:textId="1D6380B7" w:rsidR="005F1004" w:rsidRDefault="005F1004">
          <w:pPr>
            <w:pStyle w:val="TM2"/>
            <w:tabs>
              <w:tab w:val="right" w:leader="dot" w:pos="8630"/>
            </w:tabs>
            <w:rPr>
              <w:rFonts w:asciiTheme="minorHAnsi" w:eastAsiaTheme="minorEastAsia" w:hAnsiTheme="minorHAnsi"/>
              <w:noProof/>
              <w:sz w:val="24"/>
              <w:lang w:eastAsia="fr-CA"/>
            </w:rPr>
          </w:pPr>
          <w:hyperlink w:anchor="_Toc223443540" w:history="1">
            <w:r w:rsidRPr="001111D6">
              <w:rPr>
                <w:rStyle w:val="Hyperlien"/>
                <w:noProof/>
              </w:rPr>
              <w:t>Congés de solidarité</w:t>
            </w:r>
            <w:r>
              <w:rPr>
                <w:noProof/>
                <w:webHidden/>
              </w:rPr>
              <w:tab/>
            </w:r>
            <w:r>
              <w:rPr>
                <w:noProof/>
                <w:webHidden/>
              </w:rPr>
              <w:fldChar w:fldCharType="begin"/>
            </w:r>
            <w:r>
              <w:rPr>
                <w:noProof/>
                <w:webHidden/>
              </w:rPr>
              <w:instrText xml:space="preserve"> PAGEREF _Toc223443540 \h </w:instrText>
            </w:r>
            <w:r>
              <w:rPr>
                <w:noProof/>
                <w:webHidden/>
              </w:rPr>
            </w:r>
            <w:r>
              <w:rPr>
                <w:noProof/>
                <w:webHidden/>
              </w:rPr>
              <w:fldChar w:fldCharType="separate"/>
            </w:r>
            <w:r>
              <w:rPr>
                <w:noProof/>
                <w:webHidden/>
              </w:rPr>
              <w:t>10</w:t>
            </w:r>
            <w:r>
              <w:rPr>
                <w:noProof/>
                <w:webHidden/>
              </w:rPr>
              <w:fldChar w:fldCharType="end"/>
            </w:r>
          </w:hyperlink>
        </w:p>
        <w:p w14:paraId="3D8E1BD5" w14:textId="7A315B4E" w:rsidR="005F1004" w:rsidRDefault="005F1004">
          <w:pPr>
            <w:pStyle w:val="TM2"/>
            <w:tabs>
              <w:tab w:val="right" w:leader="dot" w:pos="8630"/>
            </w:tabs>
            <w:rPr>
              <w:rFonts w:asciiTheme="minorHAnsi" w:eastAsiaTheme="minorEastAsia" w:hAnsiTheme="minorHAnsi"/>
              <w:noProof/>
              <w:sz w:val="24"/>
              <w:lang w:eastAsia="fr-CA"/>
            </w:rPr>
          </w:pPr>
          <w:hyperlink w:anchor="_Toc223443541" w:history="1">
            <w:r w:rsidRPr="001111D6">
              <w:rPr>
                <w:rStyle w:val="Hyperlien"/>
                <w:noProof/>
              </w:rPr>
              <w:t>Congés sociaux</w:t>
            </w:r>
            <w:r>
              <w:rPr>
                <w:noProof/>
                <w:webHidden/>
              </w:rPr>
              <w:tab/>
            </w:r>
            <w:r>
              <w:rPr>
                <w:noProof/>
                <w:webHidden/>
              </w:rPr>
              <w:fldChar w:fldCharType="begin"/>
            </w:r>
            <w:r>
              <w:rPr>
                <w:noProof/>
                <w:webHidden/>
              </w:rPr>
              <w:instrText xml:space="preserve"> PAGEREF _Toc223443541 \h </w:instrText>
            </w:r>
            <w:r>
              <w:rPr>
                <w:noProof/>
                <w:webHidden/>
              </w:rPr>
            </w:r>
            <w:r>
              <w:rPr>
                <w:noProof/>
                <w:webHidden/>
              </w:rPr>
              <w:fldChar w:fldCharType="separate"/>
            </w:r>
            <w:r>
              <w:rPr>
                <w:noProof/>
                <w:webHidden/>
              </w:rPr>
              <w:t>10</w:t>
            </w:r>
            <w:r>
              <w:rPr>
                <w:noProof/>
                <w:webHidden/>
              </w:rPr>
              <w:fldChar w:fldCharType="end"/>
            </w:r>
          </w:hyperlink>
        </w:p>
        <w:p w14:paraId="0FCE858A" w14:textId="6214EF4B" w:rsidR="005F1004" w:rsidRDefault="005F1004">
          <w:pPr>
            <w:pStyle w:val="TM2"/>
            <w:tabs>
              <w:tab w:val="right" w:leader="dot" w:pos="8630"/>
            </w:tabs>
            <w:rPr>
              <w:rFonts w:asciiTheme="minorHAnsi" w:eastAsiaTheme="minorEastAsia" w:hAnsiTheme="minorHAnsi"/>
              <w:noProof/>
              <w:sz w:val="24"/>
              <w:lang w:eastAsia="fr-CA"/>
            </w:rPr>
          </w:pPr>
          <w:hyperlink w:anchor="_Toc223443542" w:history="1">
            <w:r w:rsidRPr="001111D6">
              <w:rPr>
                <w:rStyle w:val="Hyperlien"/>
                <w:noProof/>
              </w:rPr>
              <w:t>Congé pour raisons de santé menstruelle et hormonale</w:t>
            </w:r>
            <w:r>
              <w:rPr>
                <w:noProof/>
                <w:webHidden/>
              </w:rPr>
              <w:tab/>
            </w:r>
            <w:r>
              <w:rPr>
                <w:noProof/>
                <w:webHidden/>
              </w:rPr>
              <w:fldChar w:fldCharType="begin"/>
            </w:r>
            <w:r>
              <w:rPr>
                <w:noProof/>
                <w:webHidden/>
              </w:rPr>
              <w:instrText xml:space="preserve"> PAGEREF _Toc223443542 \h </w:instrText>
            </w:r>
            <w:r>
              <w:rPr>
                <w:noProof/>
                <w:webHidden/>
              </w:rPr>
            </w:r>
            <w:r>
              <w:rPr>
                <w:noProof/>
                <w:webHidden/>
              </w:rPr>
              <w:fldChar w:fldCharType="separate"/>
            </w:r>
            <w:r>
              <w:rPr>
                <w:noProof/>
                <w:webHidden/>
              </w:rPr>
              <w:t>10</w:t>
            </w:r>
            <w:r>
              <w:rPr>
                <w:noProof/>
                <w:webHidden/>
              </w:rPr>
              <w:fldChar w:fldCharType="end"/>
            </w:r>
          </w:hyperlink>
        </w:p>
        <w:p w14:paraId="00E5AA5F" w14:textId="50E31FB8" w:rsidR="005F1004" w:rsidRDefault="005F1004">
          <w:pPr>
            <w:pStyle w:val="TM4"/>
            <w:tabs>
              <w:tab w:val="right" w:leader="dot" w:pos="8630"/>
            </w:tabs>
            <w:rPr>
              <w:rFonts w:asciiTheme="minorHAnsi" w:eastAsiaTheme="minorEastAsia" w:hAnsiTheme="minorHAnsi"/>
              <w:noProof/>
              <w:sz w:val="24"/>
              <w:lang w:eastAsia="fr-CA"/>
            </w:rPr>
          </w:pPr>
          <w:hyperlink w:anchor="_Toc223443543" w:history="1">
            <w:r w:rsidRPr="001111D6">
              <w:rPr>
                <w:rStyle w:val="Hyperlien"/>
                <w:noProof/>
              </w:rPr>
              <w:t>1. Admissibilité et modalités</w:t>
            </w:r>
            <w:r>
              <w:rPr>
                <w:noProof/>
                <w:webHidden/>
              </w:rPr>
              <w:tab/>
            </w:r>
            <w:r>
              <w:rPr>
                <w:noProof/>
                <w:webHidden/>
              </w:rPr>
              <w:fldChar w:fldCharType="begin"/>
            </w:r>
            <w:r>
              <w:rPr>
                <w:noProof/>
                <w:webHidden/>
              </w:rPr>
              <w:instrText xml:space="preserve"> PAGEREF _Toc223443543 \h </w:instrText>
            </w:r>
            <w:r>
              <w:rPr>
                <w:noProof/>
                <w:webHidden/>
              </w:rPr>
            </w:r>
            <w:r>
              <w:rPr>
                <w:noProof/>
                <w:webHidden/>
              </w:rPr>
              <w:fldChar w:fldCharType="separate"/>
            </w:r>
            <w:r>
              <w:rPr>
                <w:noProof/>
                <w:webHidden/>
              </w:rPr>
              <w:t>10</w:t>
            </w:r>
            <w:r>
              <w:rPr>
                <w:noProof/>
                <w:webHidden/>
              </w:rPr>
              <w:fldChar w:fldCharType="end"/>
            </w:r>
          </w:hyperlink>
        </w:p>
        <w:p w14:paraId="05C5AA93" w14:textId="4CB2601D" w:rsidR="005F1004" w:rsidRDefault="005F1004">
          <w:pPr>
            <w:pStyle w:val="TM4"/>
            <w:tabs>
              <w:tab w:val="right" w:leader="dot" w:pos="8630"/>
            </w:tabs>
            <w:rPr>
              <w:rFonts w:asciiTheme="minorHAnsi" w:eastAsiaTheme="minorEastAsia" w:hAnsiTheme="minorHAnsi"/>
              <w:noProof/>
              <w:sz w:val="24"/>
              <w:lang w:eastAsia="fr-CA"/>
            </w:rPr>
          </w:pPr>
          <w:hyperlink w:anchor="_Toc223443544" w:history="1">
            <w:r w:rsidRPr="001111D6">
              <w:rPr>
                <w:rStyle w:val="Hyperlien"/>
                <w:noProof/>
              </w:rPr>
              <w:t>2. Inclusions spécifiques</w:t>
            </w:r>
            <w:r>
              <w:rPr>
                <w:noProof/>
                <w:webHidden/>
              </w:rPr>
              <w:tab/>
            </w:r>
            <w:r>
              <w:rPr>
                <w:noProof/>
                <w:webHidden/>
              </w:rPr>
              <w:fldChar w:fldCharType="begin"/>
            </w:r>
            <w:r>
              <w:rPr>
                <w:noProof/>
                <w:webHidden/>
              </w:rPr>
              <w:instrText xml:space="preserve"> PAGEREF _Toc223443544 \h </w:instrText>
            </w:r>
            <w:r>
              <w:rPr>
                <w:noProof/>
                <w:webHidden/>
              </w:rPr>
            </w:r>
            <w:r>
              <w:rPr>
                <w:noProof/>
                <w:webHidden/>
              </w:rPr>
              <w:fldChar w:fldCharType="separate"/>
            </w:r>
            <w:r>
              <w:rPr>
                <w:noProof/>
                <w:webHidden/>
              </w:rPr>
              <w:t>11</w:t>
            </w:r>
            <w:r>
              <w:rPr>
                <w:noProof/>
                <w:webHidden/>
              </w:rPr>
              <w:fldChar w:fldCharType="end"/>
            </w:r>
          </w:hyperlink>
        </w:p>
        <w:p w14:paraId="0B2D7564" w14:textId="06776144" w:rsidR="005F1004" w:rsidRDefault="005F1004">
          <w:pPr>
            <w:pStyle w:val="TM1"/>
            <w:tabs>
              <w:tab w:val="right" w:leader="dot" w:pos="8630"/>
            </w:tabs>
            <w:rPr>
              <w:rFonts w:asciiTheme="minorHAnsi" w:eastAsiaTheme="minorEastAsia" w:hAnsiTheme="minorHAnsi"/>
              <w:noProof/>
              <w:sz w:val="24"/>
              <w:lang w:eastAsia="fr-CA"/>
            </w:rPr>
          </w:pPr>
          <w:hyperlink w:anchor="_Toc223443545" w:history="1">
            <w:r w:rsidRPr="001111D6">
              <w:rPr>
                <w:rStyle w:val="Hyperlien"/>
                <w:noProof/>
              </w:rPr>
              <w:t>7| Structure salariale des postes</w:t>
            </w:r>
            <w:r>
              <w:rPr>
                <w:noProof/>
                <w:webHidden/>
              </w:rPr>
              <w:tab/>
            </w:r>
            <w:r>
              <w:rPr>
                <w:noProof/>
                <w:webHidden/>
              </w:rPr>
              <w:fldChar w:fldCharType="begin"/>
            </w:r>
            <w:r>
              <w:rPr>
                <w:noProof/>
                <w:webHidden/>
              </w:rPr>
              <w:instrText xml:space="preserve"> PAGEREF _Toc223443545 \h </w:instrText>
            </w:r>
            <w:r>
              <w:rPr>
                <w:noProof/>
                <w:webHidden/>
              </w:rPr>
            </w:r>
            <w:r>
              <w:rPr>
                <w:noProof/>
                <w:webHidden/>
              </w:rPr>
              <w:fldChar w:fldCharType="separate"/>
            </w:r>
            <w:r>
              <w:rPr>
                <w:noProof/>
                <w:webHidden/>
              </w:rPr>
              <w:t>11</w:t>
            </w:r>
            <w:r>
              <w:rPr>
                <w:noProof/>
                <w:webHidden/>
              </w:rPr>
              <w:fldChar w:fldCharType="end"/>
            </w:r>
          </w:hyperlink>
        </w:p>
        <w:p w14:paraId="69FD2DD8" w14:textId="6EFEE316" w:rsidR="005F1004" w:rsidRDefault="005F1004">
          <w:pPr>
            <w:pStyle w:val="TM2"/>
            <w:tabs>
              <w:tab w:val="right" w:leader="dot" w:pos="8630"/>
            </w:tabs>
            <w:rPr>
              <w:rFonts w:asciiTheme="minorHAnsi" w:eastAsiaTheme="minorEastAsia" w:hAnsiTheme="minorHAnsi"/>
              <w:noProof/>
              <w:sz w:val="24"/>
              <w:lang w:eastAsia="fr-CA"/>
            </w:rPr>
          </w:pPr>
          <w:hyperlink w:anchor="_Toc223443546" w:history="1">
            <w:r w:rsidRPr="001111D6">
              <w:rPr>
                <w:rStyle w:val="Hyperlien"/>
                <w:noProof/>
              </w:rPr>
              <w:t>Le salaire annuel</w:t>
            </w:r>
            <w:r>
              <w:rPr>
                <w:noProof/>
                <w:webHidden/>
              </w:rPr>
              <w:tab/>
            </w:r>
            <w:r>
              <w:rPr>
                <w:noProof/>
                <w:webHidden/>
              </w:rPr>
              <w:fldChar w:fldCharType="begin"/>
            </w:r>
            <w:r>
              <w:rPr>
                <w:noProof/>
                <w:webHidden/>
              </w:rPr>
              <w:instrText xml:space="preserve"> PAGEREF _Toc223443546 \h </w:instrText>
            </w:r>
            <w:r>
              <w:rPr>
                <w:noProof/>
                <w:webHidden/>
              </w:rPr>
            </w:r>
            <w:r>
              <w:rPr>
                <w:noProof/>
                <w:webHidden/>
              </w:rPr>
              <w:fldChar w:fldCharType="separate"/>
            </w:r>
            <w:r>
              <w:rPr>
                <w:noProof/>
                <w:webHidden/>
              </w:rPr>
              <w:t>11</w:t>
            </w:r>
            <w:r>
              <w:rPr>
                <w:noProof/>
                <w:webHidden/>
              </w:rPr>
              <w:fldChar w:fldCharType="end"/>
            </w:r>
          </w:hyperlink>
        </w:p>
        <w:p w14:paraId="30D4959E" w14:textId="08DA4B20" w:rsidR="005F1004" w:rsidRDefault="005F1004">
          <w:pPr>
            <w:pStyle w:val="TM2"/>
            <w:tabs>
              <w:tab w:val="right" w:leader="dot" w:pos="8630"/>
            </w:tabs>
            <w:rPr>
              <w:rFonts w:asciiTheme="minorHAnsi" w:eastAsiaTheme="minorEastAsia" w:hAnsiTheme="minorHAnsi"/>
              <w:noProof/>
              <w:sz w:val="24"/>
              <w:lang w:eastAsia="fr-CA"/>
            </w:rPr>
          </w:pPr>
          <w:hyperlink w:anchor="_Toc223443547" w:history="1">
            <w:r w:rsidRPr="001111D6">
              <w:rPr>
                <w:rStyle w:val="Hyperlien"/>
                <w:noProof/>
              </w:rPr>
              <w:t>Période de probation</w:t>
            </w:r>
            <w:r>
              <w:rPr>
                <w:noProof/>
                <w:webHidden/>
              </w:rPr>
              <w:tab/>
            </w:r>
            <w:r>
              <w:rPr>
                <w:noProof/>
                <w:webHidden/>
              </w:rPr>
              <w:fldChar w:fldCharType="begin"/>
            </w:r>
            <w:r>
              <w:rPr>
                <w:noProof/>
                <w:webHidden/>
              </w:rPr>
              <w:instrText xml:space="preserve"> PAGEREF _Toc223443547 \h </w:instrText>
            </w:r>
            <w:r>
              <w:rPr>
                <w:noProof/>
                <w:webHidden/>
              </w:rPr>
            </w:r>
            <w:r>
              <w:rPr>
                <w:noProof/>
                <w:webHidden/>
              </w:rPr>
              <w:fldChar w:fldCharType="separate"/>
            </w:r>
            <w:r>
              <w:rPr>
                <w:noProof/>
                <w:webHidden/>
              </w:rPr>
              <w:t>11</w:t>
            </w:r>
            <w:r>
              <w:rPr>
                <w:noProof/>
                <w:webHidden/>
              </w:rPr>
              <w:fldChar w:fldCharType="end"/>
            </w:r>
          </w:hyperlink>
        </w:p>
        <w:p w14:paraId="667C9DF8" w14:textId="1C76CCB2" w:rsidR="005F1004" w:rsidRDefault="005F1004">
          <w:pPr>
            <w:pStyle w:val="TM2"/>
            <w:tabs>
              <w:tab w:val="right" w:leader="dot" w:pos="8630"/>
            </w:tabs>
            <w:rPr>
              <w:rFonts w:asciiTheme="minorHAnsi" w:eastAsiaTheme="minorEastAsia" w:hAnsiTheme="minorHAnsi"/>
              <w:noProof/>
              <w:sz w:val="24"/>
              <w:lang w:eastAsia="fr-CA"/>
            </w:rPr>
          </w:pPr>
          <w:hyperlink w:anchor="_Toc223443548" w:history="1">
            <w:r w:rsidRPr="001111D6">
              <w:rPr>
                <w:rStyle w:val="Hyperlien"/>
                <w:noProof/>
              </w:rPr>
              <w:t>Les avantages sociaux</w:t>
            </w:r>
            <w:r>
              <w:rPr>
                <w:noProof/>
                <w:webHidden/>
              </w:rPr>
              <w:tab/>
            </w:r>
            <w:r>
              <w:rPr>
                <w:noProof/>
                <w:webHidden/>
              </w:rPr>
              <w:fldChar w:fldCharType="begin"/>
            </w:r>
            <w:r>
              <w:rPr>
                <w:noProof/>
                <w:webHidden/>
              </w:rPr>
              <w:instrText xml:space="preserve"> PAGEREF _Toc223443548 \h </w:instrText>
            </w:r>
            <w:r>
              <w:rPr>
                <w:noProof/>
                <w:webHidden/>
              </w:rPr>
            </w:r>
            <w:r>
              <w:rPr>
                <w:noProof/>
                <w:webHidden/>
              </w:rPr>
              <w:fldChar w:fldCharType="separate"/>
            </w:r>
            <w:r>
              <w:rPr>
                <w:noProof/>
                <w:webHidden/>
              </w:rPr>
              <w:t>12</w:t>
            </w:r>
            <w:r>
              <w:rPr>
                <w:noProof/>
                <w:webHidden/>
              </w:rPr>
              <w:fldChar w:fldCharType="end"/>
            </w:r>
          </w:hyperlink>
        </w:p>
        <w:p w14:paraId="55C52F8C" w14:textId="147F0BDD" w:rsidR="005F1004" w:rsidRDefault="005F1004">
          <w:pPr>
            <w:pStyle w:val="TM4"/>
            <w:tabs>
              <w:tab w:val="right" w:leader="dot" w:pos="8630"/>
            </w:tabs>
            <w:rPr>
              <w:rFonts w:asciiTheme="minorHAnsi" w:eastAsiaTheme="minorEastAsia" w:hAnsiTheme="minorHAnsi"/>
              <w:noProof/>
              <w:sz w:val="24"/>
              <w:lang w:eastAsia="fr-CA"/>
            </w:rPr>
          </w:pPr>
          <w:hyperlink w:anchor="_Toc223443549" w:history="1">
            <w:r w:rsidRPr="001111D6">
              <w:rPr>
                <w:rStyle w:val="Hyperlien"/>
                <w:noProof/>
              </w:rPr>
              <w:t>Fonds de pension et assurance collective</w:t>
            </w:r>
            <w:r>
              <w:rPr>
                <w:noProof/>
                <w:webHidden/>
              </w:rPr>
              <w:tab/>
            </w:r>
            <w:r>
              <w:rPr>
                <w:noProof/>
                <w:webHidden/>
              </w:rPr>
              <w:fldChar w:fldCharType="begin"/>
            </w:r>
            <w:r>
              <w:rPr>
                <w:noProof/>
                <w:webHidden/>
              </w:rPr>
              <w:instrText xml:space="preserve"> PAGEREF _Toc223443549 \h </w:instrText>
            </w:r>
            <w:r>
              <w:rPr>
                <w:noProof/>
                <w:webHidden/>
              </w:rPr>
            </w:r>
            <w:r>
              <w:rPr>
                <w:noProof/>
                <w:webHidden/>
              </w:rPr>
              <w:fldChar w:fldCharType="separate"/>
            </w:r>
            <w:r>
              <w:rPr>
                <w:noProof/>
                <w:webHidden/>
              </w:rPr>
              <w:t>12</w:t>
            </w:r>
            <w:r>
              <w:rPr>
                <w:noProof/>
                <w:webHidden/>
              </w:rPr>
              <w:fldChar w:fldCharType="end"/>
            </w:r>
          </w:hyperlink>
        </w:p>
        <w:p w14:paraId="08BE02C0" w14:textId="5F8E3C31" w:rsidR="005F1004" w:rsidRDefault="005F1004">
          <w:pPr>
            <w:pStyle w:val="TM4"/>
            <w:tabs>
              <w:tab w:val="right" w:leader="dot" w:pos="8630"/>
            </w:tabs>
            <w:rPr>
              <w:rFonts w:asciiTheme="minorHAnsi" w:eastAsiaTheme="minorEastAsia" w:hAnsiTheme="minorHAnsi"/>
              <w:noProof/>
              <w:sz w:val="24"/>
              <w:lang w:eastAsia="fr-CA"/>
            </w:rPr>
          </w:pPr>
          <w:hyperlink w:anchor="_Toc223443550" w:history="1">
            <w:r w:rsidRPr="001111D6">
              <w:rPr>
                <w:rStyle w:val="Hyperlien"/>
                <w:noProof/>
              </w:rPr>
              <w:t>Jours fériés</w:t>
            </w:r>
            <w:r>
              <w:rPr>
                <w:noProof/>
                <w:webHidden/>
              </w:rPr>
              <w:tab/>
            </w:r>
            <w:r>
              <w:rPr>
                <w:noProof/>
                <w:webHidden/>
              </w:rPr>
              <w:fldChar w:fldCharType="begin"/>
            </w:r>
            <w:r>
              <w:rPr>
                <w:noProof/>
                <w:webHidden/>
              </w:rPr>
              <w:instrText xml:space="preserve"> PAGEREF _Toc223443550 \h </w:instrText>
            </w:r>
            <w:r>
              <w:rPr>
                <w:noProof/>
                <w:webHidden/>
              </w:rPr>
            </w:r>
            <w:r>
              <w:rPr>
                <w:noProof/>
                <w:webHidden/>
              </w:rPr>
              <w:fldChar w:fldCharType="separate"/>
            </w:r>
            <w:r>
              <w:rPr>
                <w:noProof/>
                <w:webHidden/>
              </w:rPr>
              <w:t>12</w:t>
            </w:r>
            <w:r>
              <w:rPr>
                <w:noProof/>
                <w:webHidden/>
              </w:rPr>
              <w:fldChar w:fldCharType="end"/>
            </w:r>
          </w:hyperlink>
        </w:p>
        <w:p w14:paraId="7C7C4102" w14:textId="3FF094C6" w:rsidR="005F1004" w:rsidRDefault="005F1004">
          <w:pPr>
            <w:pStyle w:val="TM4"/>
            <w:tabs>
              <w:tab w:val="right" w:leader="dot" w:pos="8630"/>
            </w:tabs>
            <w:rPr>
              <w:rFonts w:asciiTheme="minorHAnsi" w:eastAsiaTheme="minorEastAsia" w:hAnsiTheme="minorHAnsi"/>
              <w:noProof/>
              <w:sz w:val="24"/>
              <w:lang w:eastAsia="fr-CA"/>
            </w:rPr>
          </w:pPr>
          <w:hyperlink w:anchor="_Toc223443551" w:history="1">
            <w:r w:rsidRPr="001111D6">
              <w:rPr>
                <w:rStyle w:val="Hyperlien"/>
                <w:noProof/>
              </w:rPr>
              <w:t>Incitatifs pour le transport en commun</w:t>
            </w:r>
            <w:r>
              <w:rPr>
                <w:noProof/>
                <w:webHidden/>
              </w:rPr>
              <w:tab/>
            </w:r>
            <w:r>
              <w:rPr>
                <w:noProof/>
                <w:webHidden/>
              </w:rPr>
              <w:fldChar w:fldCharType="begin"/>
            </w:r>
            <w:r>
              <w:rPr>
                <w:noProof/>
                <w:webHidden/>
              </w:rPr>
              <w:instrText xml:space="preserve"> PAGEREF _Toc223443551 \h </w:instrText>
            </w:r>
            <w:r>
              <w:rPr>
                <w:noProof/>
                <w:webHidden/>
              </w:rPr>
            </w:r>
            <w:r>
              <w:rPr>
                <w:noProof/>
                <w:webHidden/>
              </w:rPr>
              <w:fldChar w:fldCharType="separate"/>
            </w:r>
            <w:r>
              <w:rPr>
                <w:noProof/>
                <w:webHidden/>
              </w:rPr>
              <w:t>12</w:t>
            </w:r>
            <w:r>
              <w:rPr>
                <w:noProof/>
                <w:webHidden/>
              </w:rPr>
              <w:fldChar w:fldCharType="end"/>
            </w:r>
          </w:hyperlink>
        </w:p>
        <w:p w14:paraId="45D6F1F2" w14:textId="0585E79F" w:rsidR="005F1004" w:rsidRDefault="005F1004">
          <w:pPr>
            <w:pStyle w:val="TM1"/>
            <w:tabs>
              <w:tab w:val="right" w:leader="dot" w:pos="8630"/>
            </w:tabs>
            <w:rPr>
              <w:rFonts w:asciiTheme="minorHAnsi" w:eastAsiaTheme="minorEastAsia" w:hAnsiTheme="minorHAnsi"/>
              <w:noProof/>
              <w:sz w:val="24"/>
              <w:lang w:eastAsia="fr-CA"/>
            </w:rPr>
          </w:pPr>
          <w:hyperlink w:anchor="_Toc223443552" w:history="1">
            <w:r w:rsidRPr="001111D6">
              <w:rPr>
                <w:rStyle w:val="Hyperlien"/>
                <w:noProof/>
              </w:rPr>
              <w:t>8| Processus d’évaluation</w:t>
            </w:r>
            <w:r>
              <w:rPr>
                <w:noProof/>
                <w:webHidden/>
              </w:rPr>
              <w:tab/>
            </w:r>
            <w:r>
              <w:rPr>
                <w:noProof/>
                <w:webHidden/>
              </w:rPr>
              <w:fldChar w:fldCharType="begin"/>
            </w:r>
            <w:r>
              <w:rPr>
                <w:noProof/>
                <w:webHidden/>
              </w:rPr>
              <w:instrText xml:space="preserve"> PAGEREF _Toc223443552 \h </w:instrText>
            </w:r>
            <w:r>
              <w:rPr>
                <w:noProof/>
                <w:webHidden/>
              </w:rPr>
            </w:r>
            <w:r>
              <w:rPr>
                <w:noProof/>
                <w:webHidden/>
              </w:rPr>
              <w:fldChar w:fldCharType="separate"/>
            </w:r>
            <w:r>
              <w:rPr>
                <w:noProof/>
                <w:webHidden/>
              </w:rPr>
              <w:t>13</w:t>
            </w:r>
            <w:r>
              <w:rPr>
                <w:noProof/>
                <w:webHidden/>
              </w:rPr>
              <w:fldChar w:fldCharType="end"/>
            </w:r>
          </w:hyperlink>
        </w:p>
        <w:p w14:paraId="620CB34B" w14:textId="709C029A" w:rsidR="005F1004" w:rsidRDefault="005F1004">
          <w:pPr>
            <w:pStyle w:val="TM2"/>
            <w:tabs>
              <w:tab w:val="right" w:leader="dot" w:pos="8630"/>
            </w:tabs>
            <w:rPr>
              <w:rFonts w:asciiTheme="minorHAnsi" w:eastAsiaTheme="minorEastAsia" w:hAnsiTheme="minorHAnsi"/>
              <w:noProof/>
              <w:sz w:val="24"/>
              <w:lang w:eastAsia="fr-CA"/>
            </w:rPr>
          </w:pPr>
          <w:hyperlink w:anchor="_Toc223443553" w:history="1">
            <w:r w:rsidRPr="001111D6">
              <w:rPr>
                <w:rStyle w:val="Hyperlien"/>
                <w:noProof/>
              </w:rPr>
              <w:t>Évaluation des employé.e.s :</w:t>
            </w:r>
            <w:r>
              <w:rPr>
                <w:noProof/>
                <w:webHidden/>
              </w:rPr>
              <w:tab/>
            </w:r>
            <w:r>
              <w:rPr>
                <w:noProof/>
                <w:webHidden/>
              </w:rPr>
              <w:fldChar w:fldCharType="begin"/>
            </w:r>
            <w:r>
              <w:rPr>
                <w:noProof/>
                <w:webHidden/>
              </w:rPr>
              <w:instrText xml:space="preserve"> PAGEREF _Toc223443553 \h </w:instrText>
            </w:r>
            <w:r>
              <w:rPr>
                <w:noProof/>
                <w:webHidden/>
              </w:rPr>
            </w:r>
            <w:r>
              <w:rPr>
                <w:noProof/>
                <w:webHidden/>
              </w:rPr>
              <w:fldChar w:fldCharType="separate"/>
            </w:r>
            <w:r>
              <w:rPr>
                <w:noProof/>
                <w:webHidden/>
              </w:rPr>
              <w:t>13</w:t>
            </w:r>
            <w:r>
              <w:rPr>
                <w:noProof/>
                <w:webHidden/>
              </w:rPr>
              <w:fldChar w:fldCharType="end"/>
            </w:r>
          </w:hyperlink>
        </w:p>
        <w:p w14:paraId="1C47310B" w14:textId="6673ECB1" w:rsidR="005F1004" w:rsidRDefault="005F1004">
          <w:pPr>
            <w:pStyle w:val="TM2"/>
            <w:tabs>
              <w:tab w:val="right" w:leader="dot" w:pos="8630"/>
            </w:tabs>
            <w:rPr>
              <w:rFonts w:asciiTheme="minorHAnsi" w:eastAsiaTheme="minorEastAsia" w:hAnsiTheme="minorHAnsi"/>
              <w:noProof/>
              <w:sz w:val="24"/>
              <w:lang w:eastAsia="fr-CA"/>
            </w:rPr>
          </w:pPr>
          <w:hyperlink w:anchor="_Toc223443554" w:history="1">
            <w:r w:rsidRPr="001111D6">
              <w:rPr>
                <w:rStyle w:val="Hyperlien"/>
                <w:noProof/>
              </w:rPr>
              <w:t>Évaluation de la direction générale :</w:t>
            </w:r>
            <w:r>
              <w:rPr>
                <w:noProof/>
                <w:webHidden/>
              </w:rPr>
              <w:tab/>
            </w:r>
            <w:r>
              <w:rPr>
                <w:noProof/>
                <w:webHidden/>
              </w:rPr>
              <w:fldChar w:fldCharType="begin"/>
            </w:r>
            <w:r>
              <w:rPr>
                <w:noProof/>
                <w:webHidden/>
              </w:rPr>
              <w:instrText xml:space="preserve"> PAGEREF _Toc223443554 \h </w:instrText>
            </w:r>
            <w:r>
              <w:rPr>
                <w:noProof/>
                <w:webHidden/>
              </w:rPr>
            </w:r>
            <w:r>
              <w:rPr>
                <w:noProof/>
                <w:webHidden/>
              </w:rPr>
              <w:fldChar w:fldCharType="separate"/>
            </w:r>
            <w:r>
              <w:rPr>
                <w:noProof/>
                <w:webHidden/>
              </w:rPr>
              <w:t>14</w:t>
            </w:r>
            <w:r>
              <w:rPr>
                <w:noProof/>
                <w:webHidden/>
              </w:rPr>
              <w:fldChar w:fldCharType="end"/>
            </w:r>
          </w:hyperlink>
        </w:p>
        <w:p w14:paraId="723142F1" w14:textId="6B44FE39" w:rsidR="005F1004" w:rsidRDefault="005F1004">
          <w:pPr>
            <w:pStyle w:val="TM1"/>
            <w:tabs>
              <w:tab w:val="right" w:leader="dot" w:pos="8630"/>
            </w:tabs>
            <w:rPr>
              <w:rFonts w:asciiTheme="minorHAnsi" w:eastAsiaTheme="minorEastAsia" w:hAnsiTheme="minorHAnsi"/>
              <w:noProof/>
              <w:sz w:val="24"/>
              <w:lang w:eastAsia="fr-CA"/>
            </w:rPr>
          </w:pPr>
          <w:hyperlink w:anchor="_Toc223443555" w:history="1">
            <w:r w:rsidRPr="001111D6">
              <w:rPr>
                <w:rStyle w:val="Hyperlien"/>
                <w:noProof/>
              </w:rPr>
              <w:t>9| Processus d’augmentation</w:t>
            </w:r>
            <w:r>
              <w:rPr>
                <w:noProof/>
                <w:webHidden/>
              </w:rPr>
              <w:tab/>
            </w:r>
            <w:r>
              <w:rPr>
                <w:noProof/>
                <w:webHidden/>
              </w:rPr>
              <w:fldChar w:fldCharType="begin"/>
            </w:r>
            <w:r>
              <w:rPr>
                <w:noProof/>
                <w:webHidden/>
              </w:rPr>
              <w:instrText xml:space="preserve"> PAGEREF _Toc223443555 \h </w:instrText>
            </w:r>
            <w:r>
              <w:rPr>
                <w:noProof/>
                <w:webHidden/>
              </w:rPr>
            </w:r>
            <w:r>
              <w:rPr>
                <w:noProof/>
                <w:webHidden/>
              </w:rPr>
              <w:fldChar w:fldCharType="separate"/>
            </w:r>
            <w:r>
              <w:rPr>
                <w:noProof/>
                <w:webHidden/>
              </w:rPr>
              <w:t>14</w:t>
            </w:r>
            <w:r>
              <w:rPr>
                <w:noProof/>
                <w:webHidden/>
              </w:rPr>
              <w:fldChar w:fldCharType="end"/>
            </w:r>
          </w:hyperlink>
        </w:p>
        <w:p w14:paraId="66E2107C" w14:textId="4AC0DF66" w:rsidR="005F1004" w:rsidRDefault="005F1004">
          <w:pPr>
            <w:pStyle w:val="TM1"/>
            <w:tabs>
              <w:tab w:val="right" w:leader="dot" w:pos="8630"/>
            </w:tabs>
            <w:rPr>
              <w:rFonts w:asciiTheme="minorHAnsi" w:eastAsiaTheme="minorEastAsia" w:hAnsiTheme="minorHAnsi"/>
              <w:noProof/>
              <w:sz w:val="24"/>
              <w:lang w:eastAsia="fr-CA"/>
            </w:rPr>
          </w:pPr>
          <w:hyperlink w:anchor="_Toc223443556" w:history="1">
            <w:r w:rsidRPr="001111D6">
              <w:rPr>
                <w:rStyle w:val="Hyperlien"/>
                <w:noProof/>
              </w:rPr>
              <w:t>10| Application de la grille salariale</w:t>
            </w:r>
            <w:r>
              <w:rPr>
                <w:noProof/>
                <w:webHidden/>
              </w:rPr>
              <w:tab/>
            </w:r>
            <w:r>
              <w:rPr>
                <w:noProof/>
                <w:webHidden/>
              </w:rPr>
              <w:fldChar w:fldCharType="begin"/>
            </w:r>
            <w:r>
              <w:rPr>
                <w:noProof/>
                <w:webHidden/>
              </w:rPr>
              <w:instrText xml:space="preserve"> PAGEREF _Toc223443556 \h </w:instrText>
            </w:r>
            <w:r>
              <w:rPr>
                <w:noProof/>
                <w:webHidden/>
              </w:rPr>
            </w:r>
            <w:r>
              <w:rPr>
                <w:noProof/>
                <w:webHidden/>
              </w:rPr>
              <w:fldChar w:fldCharType="separate"/>
            </w:r>
            <w:r>
              <w:rPr>
                <w:noProof/>
                <w:webHidden/>
              </w:rPr>
              <w:t>14</w:t>
            </w:r>
            <w:r>
              <w:rPr>
                <w:noProof/>
                <w:webHidden/>
              </w:rPr>
              <w:fldChar w:fldCharType="end"/>
            </w:r>
          </w:hyperlink>
        </w:p>
        <w:p w14:paraId="099F4555" w14:textId="1AEF9810" w:rsidR="005F1004" w:rsidRDefault="005F1004">
          <w:pPr>
            <w:pStyle w:val="TM2"/>
            <w:tabs>
              <w:tab w:val="right" w:leader="dot" w:pos="8630"/>
            </w:tabs>
            <w:rPr>
              <w:rFonts w:asciiTheme="minorHAnsi" w:eastAsiaTheme="minorEastAsia" w:hAnsiTheme="minorHAnsi"/>
              <w:noProof/>
              <w:sz w:val="24"/>
              <w:lang w:eastAsia="fr-CA"/>
            </w:rPr>
          </w:pPr>
          <w:hyperlink w:anchor="_Toc223443557" w:history="1">
            <w:r w:rsidRPr="001111D6">
              <w:rPr>
                <w:rStyle w:val="Hyperlien"/>
                <w:noProof/>
              </w:rPr>
              <w:t>Détermination de l’échelon à l’embauche</w:t>
            </w:r>
            <w:r>
              <w:rPr>
                <w:noProof/>
                <w:webHidden/>
              </w:rPr>
              <w:tab/>
            </w:r>
            <w:r>
              <w:rPr>
                <w:noProof/>
                <w:webHidden/>
              </w:rPr>
              <w:fldChar w:fldCharType="begin"/>
            </w:r>
            <w:r>
              <w:rPr>
                <w:noProof/>
                <w:webHidden/>
              </w:rPr>
              <w:instrText xml:space="preserve"> PAGEREF _Toc223443557 \h </w:instrText>
            </w:r>
            <w:r>
              <w:rPr>
                <w:noProof/>
                <w:webHidden/>
              </w:rPr>
            </w:r>
            <w:r>
              <w:rPr>
                <w:noProof/>
                <w:webHidden/>
              </w:rPr>
              <w:fldChar w:fldCharType="separate"/>
            </w:r>
            <w:r>
              <w:rPr>
                <w:noProof/>
                <w:webHidden/>
              </w:rPr>
              <w:t>14</w:t>
            </w:r>
            <w:r>
              <w:rPr>
                <w:noProof/>
                <w:webHidden/>
              </w:rPr>
              <w:fldChar w:fldCharType="end"/>
            </w:r>
          </w:hyperlink>
        </w:p>
        <w:p w14:paraId="3E339104" w14:textId="1E023CAC" w:rsidR="005F1004" w:rsidRDefault="005F1004">
          <w:pPr>
            <w:pStyle w:val="TM2"/>
            <w:tabs>
              <w:tab w:val="right" w:leader="dot" w:pos="8630"/>
            </w:tabs>
            <w:rPr>
              <w:rFonts w:asciiTheme="minorHAnsi" w:eastAsiaTheme="minorEastAsia" w:hAnsiTheme="minorHAnsi"/>
              <w:noProof/>
              <w:sz w:val="24"/>
              <w:lang w:eastAsia="fr-CA"/>
            </w:rPr>
          </w:pPr>
          <w:hyperlink w:anchor="_Toc223443558" w:history="1">
            <w:r w:rsidRPr="001111D6">
              <w:rPr>
                <w:rStyle w:val="Hyperlien"/>
                <w:noProof/>
              </w:rPr>
              <w:t>Changement d’échelon et augmentation de salaire (reconnaissance de l’ancienneté).</w:t>
            </w:r>
            <w:r>
              <w:rPr>
                <w:noProof/>
                <w:webHidden/>
              </w:rPr>
              <w:tab/>
            </w:r>
            <w:r>
              <w:rPr>
                <w:noProof/>
                <w:webHidden/>
              </w:rPr>
              <w:fldChar w:fldCharType="begin"/>
            </w:r>
            <w:r>
              <w:rPr>
                <w:noProof/>
                <w:webHidden/>
              </w:rPr>
              <w:instrText xml:space="preserve"> PAGEREF _Toc223443558 \h </w:instrText>
            </w:r>
            <w:r>
              <w:rPr>
                <w:noProof/>
                <w:webHidden/>
              </w:rPr>
            </w:r>
            <w:r>
              <w:rPr>
                <w:noProof/>
                <w:webHidden/>
              </w:rPr>
              <w:fldChar w:fldCharType="separate"/>
            </w:r>
            <w:r>
              <w:rPr>
                <w:noProof/>
                <w:webHidden/>
              </w:rPr>
              <w:t>14</w:t>
            </w:r>
            <w:r>
              <w:rPr>
                <w:noProof/>
                <w:webHidden/>
              </w:rPr>
              <w:fldChar w:fldCharType="end"/>
            </w:r>
          </w:hyperlink>
        </w:p>
        <w:p w14:paraId="5B4F16B3" w14:textId="279946C4" w:rsidR="005F1004" w:rsidRDefault="005F1004">
          <w:pPr>
            <w:pStyle w:val="TM2"/>
            <w:tabs>
              <w:tab w:val="right" w:leader="dot" w:pos="8630"/>
            </w:tabs>
            <w:rPr>
              <w:rFonts w:asciiTheme="minorHAnsi" w:eastAsiaTheme="minorEastAsia" w:hAnsiTheme="minorHAnsi"/>
              <w:noProof/>
              <w:sz w:val="24"/>
              <w:lang w:eastAsia="fr-CA"/>
            </w:rPr>
          </w:pPr>
          <w:hyperlink w:anchor="_Toc223443559" w:history="1">
            <w:r w:rsidRPr="001111D6">
              <w:rPr>
                <w:rStyle w:val="Hyperlien"/>
                <w:noProof/>
              </w:rPr>
              <w:t>Reconnaissance des compétences transversales</w:t>
            </w:r>
            <w:r>
              <w:rPr>
                <w:noProof/>
                <w:webHidden/>
              </w:rPr>
              <w:tab/>
            </w:r>
            <w:r>
              <w:rPr>
                <w:noProof/>
                <w:webHidden/>
              </w:rPr>
              <w:fldChar w:fldCharType="begin"/>
            </w:r>
            <w:r>
              <w:rPr>
                <w:noProof/>
                <w:webHidden/>
              </w:rPr>
              <w:instrText xml:space="preserve"> PAGEREF _Toc223443559 \h </w:instrText>
            </w:r>
            <w:r>
              <w:rPr>
                <w:noProof/>
                <w:webHidden/>
              </w:rPr>
            </w:r>
            <w:r>
              <w:rPr>
                <w:noProof/>
                <w:webHidden/>
              </w:rPr>
              <w:fldChar w:fldCharType="separate"/>
            </w:r>
            <w:r>
              <w:rPr>
                <w:noProof/>
                <w:webHidden/>
              </w:rPr>
              <w:t>15</w:t>
            </w:r>
            <w:r>
              <w:rPr>
                <w:noProof/>
                <w:webHidden/>
              </w:rPr>
              <w:fldChar w:fldCharType="end"/>
            </w:r>
          </w:hyperlink>
        </w:p>
        <w:p w14:paraId="0426BF7A" w14:textId="356E7EDD" w:rsidR="005F1004" w:rsidRDefault="005F1004">
          <w:pPr>
            <w:pStyle w:val="TM1"/>
            <w:tabs>
              <w:tab w:val="right" w:leader="dot" w:pos="8630"/>
            </w:tabs>
            <w:rPr>
              <w:rFonts w:asciiTheme="minorHAnsi" w:eastAsiaTheme="minorEastAsia" w:hAnsiTheme="minorHAnsi"/>
              <w:noProof/>
              <w:sz w:val="24"/>
              <w:lang w:eastAsia="fr-CA"/>
            </w:rPr>
          </w:pPr>
          <w:hyperlink w:anchor="_Toc223443560" w:history="1">
            <w:r w:rsidRPr="001111D6">
              <w:rPr>
                <w:rStyle w:val="Hyperlien"/>
                <w:noProof/>
              </w:rPr>
              <w:t>11| Contrat de travail</w:t>
            </w:r>
            <w:r>
              <w:rPr>
                <w:noProof/>
                <w:webHidden/>
              </w:rPr>
              <w:tab/>
            </w:r>
            <w:r>
              <w:rPr>
                <w:noProof/>
                <w:webHidden/>
              </w:rPr>
              <w:fldChar w:fldCharType="begin"/>
            </w:r>
            <w:r>
              <w:rPr>
                <w:noProof/>
                <w:webHidden/>
              </w:rPr>
              <w:instrText xml:space="preserve"> PAGEREF _Toc223443560 \h </w:instrText>
            </w:r>
            <w:r>
              <w:rPr>
                <w:noProof/>
                <w:webHidden/>
              </w:rPr>
            </w:r>
            <w:r>
              <w:rPr>
                <w:noProof/>
                <w:webHidden/>
              </w:rPr>
              <w:fldChar w:fldCharType="separate"/>
            </w:r>
            <w:r>
              <w:rPr>
                <w:noProof/>
                <w:webHidden/>
              </w:rPr>
              <w:t>15</w:t>
            </w:r>
            <w:r>
              <w:rPr>
                <w:noProof/>
                <w:webHidden/>
              </w:rPr>
              <w:fldChar w:fldCharType="end"/>
            </w:r>
          </w:hyperlink>
        </w:p>
        <w:p w14:paraId="5D8C54C1" w14:textId="52F1CA9C" w:rsidR="005F1004" w:rsidRDefault="005F1004">
          <w:pPr>
            <w:pStyle w:val="TM1"/>
            <w:tabs>
              <w:tab w:val="right" w:leader="dot" w:pos="8630"/>
            </w:tabs>
            <w:rPr>
              <w:rFonts w:asciiTheme="minorHAnsi" w:eastAsiaTheme="minorEastAsia" w:hAnsiTheme="minorHAnsi"/>
              <w:noProof/>
              <w:sz w:val="24"/>
              <w:lang w:eastAsia="fr-CA"/>
            </w:rPr>
          </w:pPr>
          <w:hyperlink w:anchor="_Toc223443561" w:history="1">
            <w:r w:rsidRPr="001111D6">
              <w:rPr>
                <w:rStyle w:val="Hyperlien"/>
                <w:noProof/>
              </w:rPr>
              <w:t>12| Rupture du lien d’emploi</w:t>
            </w:r>
            <w:r>
              <w:rPr>
                <w:noProof/>
                <w:webHidden/>
              </w:rPr>
              <w:tab/>
            </w:r>
            <w:r>
              <w:rPr>
                <w:noProof/>
                <w:webHidden/>
              </w:rPr>
              <w:fldChar w:fldCharType="begin"/>
            </w:r>
            <w:r>
              <w:rPr>
                <w:noProof/>
                <w:webHidden/>
              </w:rPr>
              <w:instrText xml:space="preserve"> PAGEREF _Toc223443561 \h </w:instrText>
            </w:r>
            <w:r>
              <w:rPr>
                <w:noProof/>
                <w:webHidden/>
              </w:rPr>
            </w:r>
            <w:r>
              <w:rPr>
                <w:noProof/>
                <w:webHidden/>
              </w:rPr>
              <w:fldChar w:fldCharType="separate"/>
            </w:r>
            <w:r>
              <w:rPr>
                <w:noProof/>
                <w:webHidden/>
              </w:rPr>
              <w:t>15</w:t>
            </w:r>
            <w:r>
              <w:rPr>
                <w:noProof/>
                <w:webHidden/>
              </w:rPr>
              <w:fldChar w:fldCharType="end"/>
            </w:r>
          </w:hyperlink>
        </w:p>
        <w:p w14:paraId="6B9C5B1C" w14:textId="3393B496" w:rsidR="005F1004" w:rsidRDefault="005F1004">
          <w:pPr>
            <w:pStyle w:val="TM2"/>
            <w:tabs>
              <w:tab w:val="right" w:leader="dot" w:pos="8630"/>
            </w:tabs>
            <w:rPr>
              <w:rFonts w:asciiTheme="minorHAnsi" w:eastAsiaTheme="minorEastAsia" w:hAnsiTheme="minorHAnsi"/>
              <w:noProof/>
              <w:sz w:val="24"/>
              <w:lang w:eastAsia="fr-CA"/>
            </w:rPr>
          </w:pPr>
          <w:hyperlink w:anchor="_Toc223443562" w:history="1">
            <w:r w:rsidRPr="001111D6">
              <w:rPr>
                <w:rStyle w:val="Hyperlien"/>
                <w:noProof/>
              </w:rPr>
              <w:t>Définitions</w:t>
            </w:r>
            <w:r>
              <w:rPr>
                <w:noProof/>
                <w:webHidden/>
              </w:rPr>
              <w:tab/>
            </w:r>
            <w:r>
              <w:rPr>
                <w:noProof/>
                <w:webHidden/>
              </w:rPr>
              <w:fldChar w:fldCharType="begin"/>
            </w:r>
            <w:r>
              <w:rPr>
                <w:noProof/>
                <w:webHidden/>
              </w:rPr>
              <w:instrText xml:space="preserve"> PAGEREF _Toc223443562 \h </w:instrText>
            </w:r>
            <w:r>
              <w:rPr>
                <w:noProof/>
                <w:webHidden/>
              </w:rPr>
            </w:r>
            <w:r>
              <w:rPr>
                <w:noProof/>
                <w:webHidden/>
              </w:rPr>
              <w:fldChar w:fldCharType="separate"/>
            </w:r>
            <w:r>
              <w:rPr>
                <w:noProof/>
                <w:webHidden/>
              </w:rPr>
              <w:t>15</w:t>
            </w:r>
            <w:r>
              <w:rPr>
                <w:noProof/>
                <w:webHidden/>
              </w:rPr>
              <w:fldChar w:fldCharType="end"/>
            </w:r>
          </w:hyperlink>
        </w:p>
        <w:p w14:paraId="686029B2" w14:textId="099D0513" w:rsidR="005F1004" w:rsidRDefault="005F1004">
          <w:pPr>
            <w:pStyle w:val="TM2"/>
            <w:tabs>
              <w:tab w:val="right" w:leader="dot" w:pos="8630"/>
            </w:tabs>
            <w:rPr>
              <w:rFonts w:asciiTheme="minorHAnsi" w:eastAsiaTheme="minorEastAsia" w:hAnsiTheme="minorHAnsi"/>
              <w:noProof/>
              <w:sz w:val="24"/>
              <w:lang w:eastAsia="fr-CA"/>
            </w:rPr>
          </w:pPr>
          <w:hyperlink w:anchor="_Toc223443563" w:history="1">
            <w:r w:rsidRPr="001111D6">
              <w:rPr>
                <w:rStyle w:val="Hyperlien"/>
                <w:noProof/>
              </w:rPr>
              <w:t>Procédure de démission</w:t>
            </w:r>
            <w:r>
              <w:rPr>
                <w:noProof/>
                <w:webHidden/>
              </w:rPr>
              <w:tab/>
            </w:r>
            <w:r>
              <w:rPr>
                <w:noProof/>
                <w:webHidden/>
              </w:rPr>
              <w:fldChar w:fldCharType="begin"/>
            </w:r>
            <w:r>
              <w:rPr>
                <w:noProof/>
                <w:webHidden/>
              </w:rPr>
              <w:instrText xml:space="preserve"> PAGEREF _Toc223443563 \h </w:instrText>
            </w:r>
            <w:r>
              <w:rPr>
                <w:noProof/>
                <w:webHidden/>
              </w:rPr>
            </w:r>
            <w:r>
              <w:rPr>
                <w:noProof/>
                <w:webHidden/>
              </w:rPr>
              <w:fldChar w:fldCharType="separate"/>
            </w:r>
            <w:r>
              <w:rPr>
                <w:noProof/>
                <w:webHidden/>
              </w:rPr>
              <w:t>16</w:t>
            </w:r>
            <w:r>
              <w:rPr>
                <w:noProof/>
                <w:webHidden/>
              </w:rPr>
              <w:fldChar w:fldCharType="end"/>
            </w:r>
          </w:hyperlink>
        </w:p>
        <w:p w14:paraId="4C2C7A7D" w14:textId="74774D68" w:rsidR="005F1004" w:rsidRDefault="005F1004">
          <w:pPr>
            <w:pStyle w:val="TM2"/>
            <w:tabs>
              <w:tab w:val="right" w:leader="dot" w:pos="8630"/>
            </w:tabs>
            <w:rPr>
              <w:rFonts w:asciiTheme="minorHAnsi" w:eastAsiaTheme="minorEastAsia" w:hAnsiTheme="minorHAnsi"/>
              <w:noProof/>
              <w:sz w:val="24"/>
              <w:lang w:eastAsia="fr-CA"/>
            </w:rPr>
          </w:pPr>
          <w:hyperlink w:anchor="_Toc223443564" w:history="1">
            <w:r w:rsidRPr="001111D6">
              <w:rPr>
                <w:rStyle w:val="Hyperlien"/>
                <w:noProof/>
              </w:rPr>
              <w:t>Procédure d’avis : le licenciement, la mise à pied et le congédiement</w:t>
            </w:r>
            <w:r>
              <w:rPr>
                <w:noProof/>
                <w:webHidden/>
              </w:rPr>
              <w:tab/>
            </w:r>
            <w:r>
              <w:rPr>
                <w:noProof/>
                <w:webHidden/>
              </w:rPr>
              <w:fldChar w:fldCharType="begin"/>
            </w:r>
            <w:r>
              <w:rPr>
                <w:noProof/>
                <w:webHidden/>
              </w:rPr>
              <w:instrText xml:space="preserve"> PAGEREF _Toc223443564 \h </w:instrText>
            </w:r>
            <w:r>
              <w:rPr>
                <w:noProof/>
                <w:webHidden/>
              </w:rPr>
            </w:r>
            <w:r>
              <w:rPr>
                <w:noProof/>
                <w:webHidden/>
              </w:rPr>
              <w:fldChar w:fldCharType="separate"/>
            </w:r>
            <w:r>
              <w:rPr>
                <w:noProof/>
                <w:webHidden/>
              </w:rPr>
              <w:t>16</w:t>
            </w:r>
            <w:r>
              <w:rPr>
                <w:noProof/>
                <w:webHidden/>
              </w:rPr>
              <w:fldChar w:fldCharType="end"/>
            </w:r>
          </w:hyperlink>
        </w:p>
        <w:p w14:paraId="6163EBAB" w14:textId="272C59DA" w:rsidR="005F1004" w:rsidRDefault="005F1004">
          <w:pPr>
            <w:pStyle w:val="TM2"/>
            <w:tabs>
              <w:tab w:val="right" w:leader="dot" w:pos="8630"/>
            </w:tabs>
            <w:rPr>
              <w:rFonts w:asciiTheme="minorHAnsi" w:eastAsiaTheme="minorEastAsia" w:hAnsiTheme="minorHAnsi"/>
              <w:noProof/>
              <w:sz w:val="24"/>
              <w:lang w:eastAsia="fr-CA"/>
            </w:rPr>
          </w:pPr>
          <w:hyperlink w:anchor="_Toc223443565" w:history="1">
            <w:r w:rsidRPr="001111D6">
              <w:rPr>
                <w:rStyle w:val="Hyperlien"/>
                <w:noProof/>
              </w:rPr>
              <w:t>Mesure disciplinaire</w:t>
            </w:r>
            <w:r>
              <w:rPr>
                <w:noProof/>
                <w:webHidden/>
              </w:rPr>
              <w:tab/>
            </w:r>
            <w:r>
              <w:rPr>
                <w:noProof/>
                <w:webHidden/>
              </w:rPr>
              <w:fldChar w:fldCharType="begin"/>
            </w:r>
            <w:r>
              <w:rPr>
                <w:noProof/>
                <w:webHidden/>
              </w:rPr>
              <w:instrText xml:space="preserve"> PAGEREF _Toc223443565 \h </w:instrText>
            </w:r>
            <w:r>
              <w:rPr>
                <w:noProof/>
                <w:webHidden/>
              </w:rPr>
            </w:r>
            <w:r>
              <w:rPr>
                <w:noProof/>
                <w:webHidden/>
              </w:rPr>
              <w:fldChar w:fldCharType="separate"/>
            </w:r>
            <w:r>
              <w:rPr>
                <w:noProof/>
                <w:webHidden/>
              </w:rPr>
              <w:t>16</w:t>
            </w:r>
            <w:r>
              <w:rPr>
                <w:noProof/>
                <w:webHidden/>
              </w:rPr>
              <w:fldChar w:fldCharType="end"/>
            </w:r>
          </w:hyperlink>
        </w:p>
        <w:p w14:paraId="5154EC4A" w14:textId="21F3876B" w:rsidR="005F1004" w:rsidRDefault="005F1004">
          <w:pPr>
            <w:pStyle w:val="TM1"/>
            <w:tabs>
              <w:tab w:val="right" w:leader="dot" w:pos="8630"/>
            </w:tabs>
            <w:rPr>
              <w:rFonts w:asciiTheme="minorHAnsi" w:eastAsiaTheme="minorEastAsia" w:hAnsiTheme="minorHAnsi"/>
              <w:noProof/>
              <w:sz w:val="24"/>
              <w:lang w:eastAsia="fr-CA"/>
            </w:rPr>
          </w:pPr>
          <w:hyperlink w:anchor="_Toc223443566" w:history="1">
            <w:r w:rsidRPr="001111D6">
              <w:rPr>
                <w:rStyle w:val="Hyperlien"/>
                <w:noProof/>
              </w:rPr>
              <w:t>13| Congé sans solde</w:t>
            </w:r>
            <w:r>
              <w:rPr>
                <w:noProof/>
                <w:webHidden/>
              </w:rPr>
              <w:tab/>
            </w:r>
            <w:r>
              <w:rPr>
                <w:noProof/>
                <w:webHidden/>
              </w:rPr>
              <w:fldChar w:fldCharType="begin"/>
            </w:r>
            <w:r>
              <w:rPr>
                <w:noProof/>
                <w:webHidden/>
              </w:rPr>
              <w:instrText xml:space="preserve"> PAGEREF _Toc223443566 \h </w:instrText>
            </w:r>
            <w:r>
              <w:rPr>
                <w:noProof/>
                <w:webHidden/>
              </w:rPr>
            </w:r>
            <w:r>
              <w:rPr>
                <w:noProof/>
                <w:webHidden/>
              </w:rPr>
              <w:fldChar w:fldCharType="separate"/>
            </w:r>
            <w:r>
              <w:rPr>
                <w:noProof/>
                <w:webHidden/>
              </w:rPr>
              <w:t>17</w:t>
            </w:r>
            <w:r>
              <w:rPr>
                <w:noProof/>
                <w:webHidden/>
              </w:rPr>
              <w:fldChar w:fldCharType="end"/>
            </w:r>
          </w:hyperlink>
        </w:p>
        <w:p w14:paraId="41F9C5AC" w14:textId="684C0538" w:rsidR="005F1004" w:rsidRDefault="005F1004">
          <w:pPr>
            <w:pStyle w:val="TM2"/>
            <w:tabs>
              <w:tab w:val="right" w:leader="dot" w:pos="8630"/>
            </w:tabs>
            <w:rPr>
              <w:rFonts w:asciiTheme="minorHAnsi" w:eastAsiaTheme="minorEastAsia" w:hAnsiTheme="minorHAnsi"/>
              <w:noProof/>
              <w:sz w:val="24"/>
              <w:lang w:eastAsia="fr-CA"/>
            </w:rPr>
          </w:pPr>
          <w:hyperlink w:anchor="_Toc223443567" w:history="1">
            <w:r w:rsidRPr="001111D6">
              <w:rPr>
                <w:rStyle w:val="Hyperlien"/>
                <w:noProof/>
              </w:rPr>
              <w:t>Retour de congé sans solde</w:t>
            </w:r>
            <w:r>
              <w:rPr>
                <w:noProof/>
                <w:webHidden/>
              </w:rPr>
              <w:tab/>
            </w:r>
            <w:r>
              <w:rPr>
                <w:noProof/>
                <w:webHidden/>
              </w:rPr>
              <w:fldChar w:fldCharType="begin"/>
            </w:r>
            <w:r>
              <w:rPr>
                <w:noProof/>
                <w:webHidden/>
              </w:rPr>
              <w:instrText xml:space="preserve"> PAGEREF _Toc223443567 \h </w:instrText>
            </w:r>
            <w:r>
              <w:rPr>
                <w:noProof/>
                <w:webHidden/>
              </w:rPr>
            </w:r>
            <w:r>
              <w:rPr>
                <w:noProof/>
                <w:webHidden/>
              </w:rPr>
              <w:fldChar w:fldCharType="separate"/>
            </w:r>
            <w:r>
              <w:rPr>
                <w:noProof/>
                <w:webHidden/>
              </w:rPr>
              <w:t>17</w:t>
            </w:r>
            <w:r>
              <w:rPr>
                <w:noProof/>
                <w:webHidden/>
              </w:rPr>
              <w:fldChar w:fldCharType="end"/>
            </w:r>
          </w:hyperlink>
        </w:p>
        <w:p w14:paraId="26213BD1" w14:textId="5CE6901E" w:rsidR="005F1004" w:rsidRDefault="005F1004">
          <w:pPr>
            <w:pStyle w:val="TM1"/>
            <w:tabs>
              <w:tab w:val="right" w:leader="dot" w:pos="8630"/>
            </w:tabs>
            <w:rPr>
              <w:rFonts w:asciiTheme="minorHAnsi" w:eastAsiaTheme="minorEastAsia" w:hAnsiTheme="minorHAnsi"/>
              <w:noProof/>
              <w:sz w:val="24"/>
              <w:lang w:eastAsia="fr-CA"/>
            </w:rPr>
          </w:pPr>
          <w:hyperlink w:anchor="_Toc223443568" w:history="1">
            <w:r w:rsidRPr="001111D6">
              <w:rPr>
                <w:rStyle w:val="Hyperlien"/>
                <w:noProof/>
              </w:rPr>
              <w:t>14| Activités de représentation</w:t>
            </w:r>
            <w:r>
              <w:rPr>
                <w:noProof/>
                <w:webHidden/>
              </w:rPr>
              <w:tab/>
            </w:r>
            <w:r>
              <w:rPr>
                <w:noProof/>
                <w:webHidden/>
              </w:rPr>
              <w:fldChar w:fldCharType="begin"/>
            </w:r>
            <w:r>
              <w:rPr>
                <w:noProof/>
                <w:webHidden/>
              </w:rPr>
              <w:instrText xml:space="preserve"> PAGEREF _Toc223443568 \h </w:instrText>
            </w:r>
            <w:r>
              <w:rPr>
                <w:noProof/>
                <w:webHidden/>
              </w:rPr>
            </w:r>
            <w:r>
              <w:rPr>
                <w:noProof/>
                <w:webHidden/>
              </w:rPr>
              <w:fldChar w:fldCharType="separate"/>
            </w:r>
            <w:r>
              <w:rPr>
                <w:noProof/>
                <w:webHidden/>
              </w:rPr>
              <w:t>18</w:t>
            </w:r>
            <w:r>
              <w:rPr>
                <w:noProof/>
                <w:webHidden/>
              </w:rPr>
              <w:fldChar w:fldCharType="end"/>
            </w:r>
          </w:hyperlink>
        </w:p>
        <w:p w14:paraId="64007CB7" w14:textId="1DA66348" w:rsidR="005F1004" w:rsidRDefault="005F1004">
          <w:pPr>
            <w:pStyle w:val="TM2"/>
            <w:tabs>
              <w:tab w:val="right" w:leader="dot" w:pos="8630"/>
            </w:tabs>
            <w:rPr>
              <w:rFonts w:asciiTheme="minorHAnsi" w:eastAsiaTheme="minorEastAsia" w:hAnsiTheme="minorHAnsi"/>
              <w:noProof/>
              <w:sz w:val="24"/>
              <w:lang w:eastAsia="fr-CA"/>
            </w:rPr>
          </w:pPr>
          <w:hyperlink w:anchor="_Toc223443569" w:history="1">
            <w:r w:rsidRPr="001111D6">
              <w:rPr>
                <w:rStyle w:val="Hyperlien"/>
                <w:noProof/>
              </w:rPr>
              <w:t>Reconnaissance et soutien</w:t>
            </w:r>
            <w:r>
              <w:rPr>
                <w:noProof/>
                <w:webHidden/>
              </w:rPr>
              <w:tab/>
            </w:r>
            <w:r>
              <w:rPr>
                <w:noProof/>
                <w:webHidden/>
              </w:rPr>
              <w:fldChar w:fldCharType="begin"/>
            </w:r>
            <w:r>
              <w:rPr>
                <w:noProof/>
                <w:webHidden/>
              </w:rPr>
              <w:instrText xml:space="preserve"> PAGEREF _Toc223443569 \h </w:instrText>
            </w:r>
            <w:r>
              <w:rPr>
                <w:noProof/>
                <w:webHidden/>
              </w:rPr>
            </w:r>
            <w:r>
              <w:rPr>
                <w:noProof/>
                <w:webHidden/>
              </w:rPr>
              <w:fldChar w:fldCharType="separate"/>
            </w:r>
            <w:r>
              <w:rPr>
                <w:noProof/>
                <w:webHidden/>
              </w:rPr>
              <w:t>19</w:t>
            </w:r>
            <w:r>
              <w:rPr>
                <w:noProof/>
                <w:webHidden/>
              </w:rPr>
              <w:fldChar w:fldCharType="end"/>
            </w:r>
          </w:hyperlink>
        </w:p>
        <w:p w14:paraId="01BD76BD" w14:textId="6DA81D7C" w:rsidR="005F1004" w:rsidRDefault="005F1004">
          <w:pPr>
            <w:pStyle w:val="TM1"/>
            <w:tabs>
              <w:tab w:val="right" w:leader="dot" w:pos="8630"/>
            </w:tabs>
            <w:rPr>
              <w:rFonts w:asciiTheme="minorHAnsi" w:eastAsiaTheme="minorEastAsia" w:hAnsiTheme="minorHAnsi"/>
              <w:noProof/>
              <w:sz w:val="24"/>
              <w:lang w:eastAsia="fr-CA"/>
            </w:rPr>
          </w:pPr>
          <w:hyperlink w:anchor="_Toc223443570" w:history="1">
            <w:r w:rsidRPr="001111D6">
              <w:rPr>
                <w:rStyle w:val="Hyperlien"/>
                <w:noProof/>
              </w:rPr>
              <w:t>15| Formation</w:t>
            </w:r>
            <w:r>
              <w:rPr>
                <w:noProof/>
                <w:webHidden/>
              </w:rPr>
              <w:tab/>
            </w:r>
            <w:r>
              <w:rPr>
                <w:noProof/>
                <w:webHidden/>
              </w:rPr>
              <w:fldChar w:fldCharType="begin"/>
            </w:r>
            <w:r>
              <w:rPr>
                <w:noProof/>
                <w:webHidden/>
              </w:rPr>
              <w:instrText xml:space="preserve"> PAGEREF _Toc223443570 \h </w:instrText>
            </w:r>
            <w:r>
              <w:rPr>
                <w:noProof/>
                <w:webHidden/>
              </w:rPr>
            </w:r>
            <w:r>
              <w:rPr>
                <w:noProof/>
                <w:webHidden/>
              </w:rPr>
              <w:fldChar w:fldCharType="separate"/>
            </w:r>
            <w:r>
              <w:rPr>
                <w:noProof/>
                <w:webHidden/>
              </w:rPr>
              <w:t>19</w:t>
            </w:r>
            <w:r>
              <w:rPr>
                <w:noProof/>
                <w:webHidden/>
              </w:rPr>
              <w:fldChar w:fldCharType="end"/>
            </w:r>
          </w:hyperlink>
        </w:p>
        <w:p w14:paraId="5C80E69B" w14:textId="7A864380" w:rsidR="005F1004" w:rsidRDefault="005F1004">
          <w:pPr>
            <w:pStyle w:val="TM2"/>
            <w:tabs>
              <w:tab w:val="right" w:leader="dot" w:pos="8630"/>
            </w:tabs>
            <w:rPr>
              <w:rFonts w:asciiTheme="minorHAnsi" w:eastAsiaTheme="minorEastAsia" w:hAnsiTheme="minorHAnsi"/>
              <w:noProof/>
              <w:sz w:val="24"/>
              <w:lang w:eastAsia="fr-CA"/>
            </w:rPr>
          </w:pPr>
          <w:hyperlink w:anchor="_Toc223443571" w:history="1">
            <w:r w:rsidRPr="001111D6">
              <w:rPr>
                <w:rStyle w:val="Hyperlien"/>
                <w:noProof/>
              </w:rPr>
              <w:t>Modalités et accès aux formations</w:t>
            </w:r>
            <w:r>
              <w:rPr>
                <w:noProof/>
                <w:webHidden/>
              </w:rPr>
              <w:tab/>
            </w:r>
            <w:r>
              <w:rPr>
                <w:noProof/>
                <w:webHidden/>
              </w:rPr>
              <w:fldChar w:fldCharType="begin"/>
            </w:r>
            <w:r>
              <w:rPr>
                <w:noProof/>
                <w:webHidden/>
              </w:rPr>
              <w:instrText xml:space="preserve"> PAGEREF _Toc223443571 \h </w:instrText>
            </w:r>
            <w:r>
              <w:rPr>
                <w:noProof/>
                <w:webHidden/>
              </w:rPr>
            </w:r>
            <w:r>
              <w:rPr>
                <w:noProof/>
                <w:webHidden/>
              </w:rPr>
              <w:fldChar w:fldCharType="separate"/>
            </w:r>
            <w:r>
              <w:rPr>
                <w:noProof/>
                <w:webHidden/>
              </w:rPr>
              <w:t>19</w:t>
            </w:r>
            <w:r>
              <w:rPr>
                <w:noProof/>
                <w:webHidden/>
              </w:rPr>
              <w:fldChar w:fldCharType="end"/>
            </w:r>
          </w:hyperlink>
        </w:p>
        <w:p w14:paraId="581BC01F" w14:textId="0B4F0A6C" w:rsidR="005F1004" w:rsidRDefault="005F1004">
          <w:pPr>
            <w:pStyle w:val="TM2"/>
            <w:tabs>
              <w:tab w:val="right" w:leader="dot" w:pos="8630"/>
            </w:tabs>
            <w:rPr>
              <w:rFonts w:asciiTheme="minorHAnsi" w:eastAsiaTheme="minorEastAsia" w:hAnsiTheme="minorHAnsi"/>
              <w:noProof/>
              <w:sz w:val="24"/>
              <w:lang w:eastAsia="fr-CA"/>
            </w:rPr>
          </w:pPr>
          <w:hyperlink w:anchor="_Toc223443572" w:history="1">
            <w:r w:rsidRPr="001111D6">
              <w:rPr>
                <w:rStyle w:val="Hyperlien"/>
                <w:noProof/>
              </w:rPr>
              <w:t>Engagement financier et accessibilité</w:t>
            </w:r>
            <w:r>
              <w:rPr>
                <w:noProof/>
                <w:webHidden/>
              </w:rPr>
              <w:tab/>
            </w:r>
            <w:r>
              <w:rPr>
                <w:noProof/>
                <w:webHidden/>
              </w:rPr>
              <w:fldChar w:fldCharType="begin"/>
            </w:r>
            <w:r>
              <w:rPr>
                <w:noProof/>
                <w:webHidden/>
              </w:rPr>
              <w:instrText xml:space="preserve"> PAGEREF _Toc223443572 \h </w:instrText>
            </w:r>
            <w:r>
              <w:rPr>
                <w:noProof/>
                <w:webHidden/>
              </w:rPr>
            </w:r>
            <w:r>
              <w:rPr>
                <w:noProof/>
                <w:webHidden/>
              </w:rPr>
              <w:fldChar w:fldCharType="separate"/>
            </w:r>
            <w:r>
              <w:rPr>
                <w:noProof/>
                <w:webHidden/>
              </w:rPr>
              <w:t>20</w:t>
            </w:r>
            <w:r>
              <w:rPr>
                <w:noProof/>
                <w:webHidden/>
              </w:rPr>
              <w:fldChar w:fldCharType="end"/>
            </w:r>
          </w:hyperlink>
        </w:p>
        <w:p w14:paraId="3BA640C0" w14:textId="6F21B19B" w:rsidR="005F1004" w:rsidRDefault="005F1004">
          <w:pPr>
            <w:pStyle w:val="TM2"/>
            <w:tabs>
              <w:tab w:val="right" w:leader="dot" w:pos="8630"/>
            </w:tabs>
            <w:rPr>
              <w:rFonts w:asciiTheme="minorHAnsi" w:eastAsiaTheme="minorEastAsia" w:hAnsiTheme="minorHAnsi"/>
              <w:noProof/>
              <w:sz w:val="24"/>
              <w:lang w:eastAsia="fr-CA"/>
            </w:rPr>
          </w:pPr>
          <w:hyperlink w:anchor="_Toc223443573" w:history="1">
            <w:r w:rsidRPr="001111D6">
              <w:rPr>
                <w:rStyle w:val="Hyperlien"/>
                <w:noProof/>
              </w:rPr>
              <w:t>Journées dédiées à la formation et à la réflexion critique</w:t>
            </w:r>
            <w:r>
              <w:rPr>
                <w:noProof/>
                <w:webHidden/>
              </w:rPr>
              <w:tab/>
            </w:r>
            <w:r>
              <w:rPr>
                <w:noProof/>
                <w:webHidden/>
              </w:rPr>
              <w:fldChar w:fldCharType="begin"/>
            </w:r>
            <w:r>
              <w:rPr>
                <w:noProof/>
                <w:webHidden/>
              </w:rPr>
              <w:instrText xml:space="preserve"> PAGEREF _Toc223443573 \h </w:instrText>
            </w:r>
            <w:r>
              <w:rPr>
                <w:noProof/>
                <w:webHidden/>
              </w:rPr>
            </w:r>
            <w:r>
              <w:rPr>
                <w:noProof/>
                <w:webHidden/>
              </w:rPr>
              <w:fldChar w:fldCharType="separate"/>
            </w:r>
            <w:r>
              <w:rPr>
                <w:noProof/>
                <w:webHidden/>
              </w:rPr>
              <w:t>20</w:t>
            </w:r>
            <w:r>
              <w:rPr>
                <w:noProof/>
                <w:webHidden/>
              </w:rPr>
              <w:fldChar w:fldCharType="end"/>
            </w:r>
          </w:hyperlink>
        </w:p>
        <w:p w14:paraId="740ED745" w14:textId="0703C9FB" w:rsidR="005F1004" w:rsidRDefault="005F1004">
          <w:pPr>
            <w:pStyle w:val="TM1"/>
            <w:tabs>
              <w:tab w:val="right" w:leader="dot" w:pos="8630"/>
            </w:tabs>
            <w:rPr>
              <w:rFonts w:asciiTheme="minorHAnsi" w:eastAsiaTheme="minorEastAsia" w:hAnsiTheme="minorHAnsi"/>
              <w:noProof/>
              <w:sz w:val="24"/>
              <w:lang w:eastAsia="fr-CA"/>
            </w:rPr>
          </w:pPr>
          <w:hyperlink w:anchor="_Toc223443574" w:history="1">
            <w:r w:rsidRPr="001111D6">
              <w:rPr>
                <w:rStyle w:val="Hyperlien"/>
                <w:noProof/>
              </w:rPr>
              <w:t>16| Stagiaire</w:t>
            </w:r>
            <w:r>
              <w:rPr>
                <w:noProof/>
                <w:webHidden/>
              </w:rPr>
              <w:tab/>
            </w:r>
            <w:r>
              <w:rPr>
                <w:noProof/>
                <w:webHidden/>
              </w:rPr>
              <w:fldChar w:fldCharType="begin"/>
            </w:r>
            <w:r>
              <w:rPr>
                <w:noProof/>
                <w:webHidden/>
              </w:rPr>
              <w:instrText xml:space="preserve"> PAGEREF _Toc223443574 \h </w:instrText>
            </w:r>
            <w:r>
              <w:rPr>
                <w:noProof/>
                <w:webHidden/>
              </w:rPr>
            </w:r>
            <w:r>
              <w:rPr>
                <w:noProof/>
                <w:webHidden/>
              </w:rPr>
              <w:fldChar w:fldCharType="separate"/>
            </w:r>
            <w:r>
              <w:rPr>
                <w:noProof/>
                <w:webHidden/>
              </w:rPr>
              <w:t>20</w:t>
            </w:r>
            <w:r>
              <w:rPr>
                <w:noProof/>
                <w:webHidden/>
              </w:rPr>
              <w:fldChar w:fldCharType="end"/>
            </w:r>
          </w:hyperlink>
        </w:p>
        <w:p w14:paraId="786563E1" w14:textId="37BF50AC" w:rsidR="005F1004" w:rsidRDefault="005F1004">
          <w:pPr>
            <w:pStyle w:val="TM1"/>
            <w:tabs>
              <w:tab w:val="right" w:leader="dot" w:pos="8630"/>
            </w:tabs>
            <w:rPr>
              <w:rFonts w:asciiTheme="minorHAnsi" w:eastAsiaTheme="minorEastAsia" w:hAnsiTheme="minorHAnsi"/>
              <w:noProof/>
              <w:sz w:val="24"/>
              <w:lang w:eastAsia="fr-CA"/>
            </w:rPr>
          </w:pPr>
          <w:hyperlink w:anchor="_Toc223443575" w:history="1">
            <w:r w:rsidRPr="001111D6">
              <w:rPr>
                <w:rStyle w:val="Hyperlien"/>
                <w:noProof/>
              </w:rPr>
              <w:t>17| Politique de harcèlement psychologique, sexuel et violence</w:t>
            </w:r>
            <w:r>
              <w:rPr>
                <w:noProof/>
                <w:webHidden/>
              </w:rPr>
              <w:tab/>
            </w:r>
            <w:r>
              <w:rPr>
                <w:noProof/>
                <w:webHidden/>
              </w:rPr>
              <w:fldChar w:fldCharType="begin"/>
            </w:r>
            <w:r>
              <w:rPr>
                <w:noProof/>
                <w:webHidden/>
              </w:rPr>
              <w:instrText xml:space="preserve"> PAGEREF _Toc223443575 \h </w:instrText>
            </w:r>
            <w:r>
              <w:rPr>
                <w:noProof/>
                <w:webHidden/>
              </w:rPr>
            </w:r>
            <w:r>
              <w:rPr>
                <w:noProof/>
                <w:webHidden/>
              </w:rPr>
              <w:fldChar w:fldCharType="separate"/>
            </w:r>
            <w:r>
              <w:rPr>
                <w:noProof/>
                <w:webHidden/>
              </w:rPr>
              <w:t>21</w:t>
            </w:r>
            <w:r>
              <w:rPr>
                <w:noProof/>
                <w:webHidden/>
              </w:rPr>
              <w:fldChar w:fldCharType="end"/>
            </w:r>
          </w:hyperlink>
        </w:p>
        <w:p w14:paraId="64B5ABA4" w14:textId="65FC3F46" w:rsidR="005F1004" w:rsidRDefault="005F1004">
          <w:pPr>
            <w:pStyle w:val="TM1"/>
            <w:tabs>
              <w:tab w:val="right" w:leader="dot" w:pos="8630"/>
            </w:tabs>
            <w:rPr>
              <w:rFonts w:asciiTheme="minorHAnsi" w:eastAsiaTheme="minorEastAsia" w:hAnsiTheme="minorHAnsi"/>
              <w:noProof/>
              <w:sz w:val="24"/>
              <w:lang w:eastAsia="fr-CA"/>
            </w:rPr>
          </w:pPr>
          <w:hyperlink w:anchor="_Toc223443576" w:history="1">
            <w:r w:rsidRPr="001111D6">
              <w:rPr>
                <w:rStyle w:val="Hyperlien"/>
                <w:noProof/>
              </w:rPr>
              <w:t>18| Politique de remboursement</w:t>
            </w:r>
            <w:r>
              <w:rPr>
                <w:noProof/>
                <w:webHidden/>
              </w:rPr>
              <w:tab/>
            </w:r>
            <w:r>
              <w:rPr>
                <w:noProof/>
                <w:webHidden/>
              </w:rPr>
              <w:fldChar w:fldCharType="begin"/>
            </w:r>
            <w:r>
              <w:rPr>
                <w:noProof/>
                <w:webHidden/>
              </w:rPr>
              <w:instrText xml:space="preserve"> PAGEREF _Toc223443576 \h </w:instrText>
            </w:r>
            <w:r>
              <w:rPr>
                <w:noProof/>
                <w:webHidden/>
              </w:rPr>
            </w:r>
            <w:r>
              <w:rPr>
                <w:noProof/>
                <w:webHidden/>
              </w:rPr>
              <w:fldChar w:fldCharType="separate"/>
            </w:r>
            <w:r>
              <w:rPr>
                <w:noProof/>
                <w:webHidden/>
              </w:rPr>
              <w:t>21</w:t>
            </w:r>
            <w:r>
              <w:rPr>
                <w:noProof/>
                <w:webHidden/>
              </w:rPr>
              <w:fldChar w:fldCharType="end"/>
            </w:r>
          </w:hyperlink>
        </w:p>
        <w:p w14:paraId="2886AAFD" w14:textId="38F7F022" w:rsidR="005F1004" w:rsidRDefault="005F1004">
          <w:pPr>
            <w:pStyle w:val="TM1"/>
            <w:tabs>
              <w:tab w:val="right" w:leader="dot" w:pos="8630"/>
            </w:tabs>
            <w:rPr>
              <w:rFonts w:asciiTheme="minorHAnsi" w:eastAsiaTheme="minorEastAsia" w:hAnsiTheme="minorHAnsi"/>
              <w:noProof/>
              <w:sz w:val="24"/>
              <w:lang w:eastAsia="fr-CA"/>
            </w:rPr>
          </w:pPr>
          <w:hyperlink w:anchor="_Toc223443577" w:history="1">
            <w:r w:rsidRPr="001111D6">
              <w:rPr>
                <w:rStyle w:val="Hyperlien"/>
                <w:noProof/>
              </w:rPr>
              <w:t>19| Renouvellement de la politique</w:t>
            </w:r>
            <w:r>
              <w:rPr>
                <w:noProof/>
                <w:webHidden/>
              </w:rPr>
              <w:tab/>
            </w:r>
            <w:r>
              <w:rPr>
                <w:noProof/>
                <w:webHidden/>
              </w:rPr>
              <w:fldChar w:fldCharType="begin"/>
            </w:r>
            <w:r>
              <w:rPr>
                <w:noProof/>
                <w:webHidden/>
              </w:rPr>
              <w:instrText xml:space="preserve"> PAGEREF _Toc223443577 \h </w:instrText>
            </w:r>
            <w:r>
              <w:rPr>
                <w:noProof/>
                <w:webHidden/>
              </w:rPr>
            </w:r>
            <w:r>
              <w:rPr>
                <w:noProof/>
                <w:webHidden/>
              </w:rPr>
              <w:fldChar w:fldCharType="separate"/>
            </w:r>
            <w:r>
              <w:rPr>
                <w:noProof/>
                <w:webHidden/>
              </w:rPr>
              <w:t>21</w:t>
            </w:r>
            <w:r>
              <w:rPr>
                <w:noProof/>
                <w:webHidden/>
              </w:rPr>
              <w:fldChar w:fldCharType="end"/>
            </w:r>
          </w:hyperlink>
        </w:p>
        <w:p w14:paraId="515A81C7" w14:textId="7268F792" w:rsidR="005F1004" w:rsidRDefault="005F1004">
          <w:pPr>
            <w:pStyle w:val="TM1"/>
            <w:tabs>
              <w:tab w:val="right" w:leader="dot" w:pos="8630"/>
            </w:tabs>
            <w:rPr>
              <w:rFonts w:asciiTheme="minorHAnsi" w:eastAsiaTheme="minorEastAsia" w:hAnsiTheme="minorHAnsi"/>
              <w:noProof/>
              <w:sz w:val="24"/>
              <w:lang w:eastAsia="fr-CA"/>
            </w:rPr>
          </w:pPr>
          <w:hyperlink w:anchor="_Toc223443578" w:history="1">
            <w:r w:rsidRPr="001111D6">
              <w:rPr>
                <w:rStyle w:val="Hyperlien"/>
                <w:noProof/>
              </w:rPr>
              <w:t>20| Comité sur les conditions et relations de travail</w:t>
            </w:r>
            <w:r>
              <w:rPr>
                <w:noProof/>
                <w:webHidden/>
              </w:rPr>
              <w:tab/>
            </w:r>
            <w:r>
              <w:rPr>
                <w:noProof/>
                <w:webHidden/>
              </w:rPr>
              <w:fldChar w:fldCharType="begin"/>
            </w:r>
            <w:r>
              <w:rPr>
                <w:noProof/>
                <w:webHidden/>
              </w:rPr>
              <w:instrText xml:space="preserve"> PAGEREF _Toc223443578 \h </w:instrText>
            </w:r>
            <w:r>
              <w:rPr>
                <w:noProof/>
                <w:webHidden/>
              </w:rPr>
            </w:r>
            <w:r>
              <w:rPr>
                <w:noProof/>
                <w:webHidden/>
              </w:rPr>
              <w:fldChar w:fldCharType="separate"/>
            </w:r>
            <w:r>
              <w:rPr>
                <w:noProof/>
                <w:webHidden/>
              </w:rPr>
              <w:t>21</w:t>
            </w:r>
            <w:r>
              <w:rPr>
                <w:noProof/>
                <w:webHidden/>
              </w:rPr>
              <w:fldChar w:fldCharType="end"/>
            </w:r>
          </w:hyperlink>
        </w:p>
        <w:p w14:paraId="18318F47" w14:textId="40880149" w:rsidR="005F1004" w:rsidRDefault="005F1004">
          <w:pPr>
            <w:pStyle w:val="TM2"/>
            <w:tabs>
              <w:tab w:val="right" w:leader="dot" w:pos="8630"/>
            </w:tabs>
            <w:rPr>
              <w:rFonts w:asciiTheme="minorHAnsi" w:eastAsiaTheme="minorEastAsia" w:hAnsiTheme="minorHAnsi"/>
              <w:noProof/>
              <w:sz w:val="24"/>
              <w:lang w:eastAsia="fr-CA"/>
            </w:rPr>
          </w:pPr>
          <w:hyperlink w:anchor="_Toc223443579" w:history="1">
            <w:r w:rsidRPr="001111D6">
              <w:rPr>
                <w:rStyle w:val="Hyperlien"/>
                <w:noProof/>
              </w:rPr>
              <w:t>Importance de la participation de l’équipe</w:t>
            </w:r>
            <w:r>
              <w:rPr>
                <w:noProof/>
                <w:webHidden/>
              </w:rPr>
              <w:tab/>
            </w:r>
            <w:r>
              <w:rPr>
                <w:noProof/>
                <w:webHidden/>
              </w:rPr>
              <w:fldChar w:fldCharType="begin"/>
            </w:r>
            <w:r>
              <w:rPr>
                <w:noProof/>
                <w:webHidden/>
              </w:rPr>
              <w:instrText xml:space="preserve"> PAGEREF _Toc223443579 \h </w:instrText>
            </w:r>
            <w:r>
              <w:rPr>
                <w:noProof/>
                <w:webHidden/>
              </w:rPr>
            </w:r>
            <w:r>
              <w:rPr>
                <w:noProof/>
                <w:webHidden/>
              </w:rPr>
              <w:fldChar w:fldCharType="separate"/>
            </w:r>
            <w:r>
              <w:rPr>
                <w:noProof/>
                <w:webHidden/>
              </w:rPr>
              <w:t>21</w:t>
            </w:r>
            <w:r>
              <w:rPr>
                <w:noProof/>
                <w:webHidden/>
              </w:rPr>
              <w:fldChar w:fldCharType="end"/>
            </w:r>
          </w:hyperlink>
        </w:p>
        <w:p w14:paraId="4052646B" w14:textId="4F600DA7" w:rsidR="005F1004" w:rsidRDefault="005F1004">
          <w:pPr>
            <w:pStyle w:val="TM2"/>
            <w:tabs>
              <w:tab w:val="right" w:leader="dot" w:pos="8630"/>
            </w:tabs>
            <w:rPr>
              <w:rFonts w:asciiTheme="minorHAnsi" w:eastAsiaTheme="minorEastAsia" w:hAnsiTheme="minorHAnsi"/>
              <w:noProof/>
              <w:sz w:val="24"/>
              <w:lang w:eastAsia="fr-CA"/>
            </w:rPr>
          </w:pPr>
          <w:hyperlink w:anchor="_Toc223443580" w:history="1">
            <w:r w:rsidRPr="001111D6">
              <w:rPr>
                <w:rStyle w:val="Hyperlien"/>
                <w:noProof/>
              </w:rPr>
              <w:t>Recommandations de l’équipe au comité</w:t>
            </w:r>
            <w:r>
              <w:rPr>
                <w:noProof/>
                <w:webHidden/>
              </w:rPr>
              <w:tab/>
            </w:r>
            <w:r>
              <w:rPr>
                <w:noProof/>
                <w:webHidden/>
              </w:rPr>
              <w:fldChar w:fldCharType="begin"/>
            </w:r>
            <w:r>
              <w:rPr>
                <w:noProof/>
                <w:webHidden/>
              </w:rPr>
              <w:instrText xml:space="preserve"> PAGEREF _Toc223443580 \h </w:instrText>
            </w:r>
            <w:r>
              <w:rPr>
                <w:noProof/>
                <w:webHidden/>
              </w:rPr>
            </w:r>
            <w:r>
              <w:rPr>
                <w:noProof/>
                <w:webHidden/>
              </w:rPr>
              <w:fldChar w:fldCharType="separate"/>
            </w:r>
            <w:r>
              <w:rPr>
                <w:noProof/>
                <w:webHidden/>
              </w:rPr>
              <w:t>22</w:t>
            </w:r>
            <w:r>
              <w:rPr>
                <w:noProof/>
                <w:webHidden/>
              </w:rPr>
              <w:fldChar w:fldCharType="end"/>
            </w:r>
          </w:hyperlink>
        </w:p>
        <w:p w14:paraId="33E33D9B" w14:textId="045716B9" w:rsidR="005F1004" w:rsidRDefault="005F1004">
          <w:pPr>
            <w:pStyle w:val="TM1"/>
            <w:tabs>
              <w:tab w:val="right" w:leader="dot" w:pos="8630"/>
            </w:tabs>
            <w:rPr>
              <w:rFonts w:asciiTheme="minorHAnsi" w:eastAsiaTheme="minorEastAsia" w:hAnsiTheme="minorHAnsi"/>
              <w:noProof/>
              <w:sz w:val="24"/>
              <w:lang w:eastAsia="fr-CA"/>
            </w:rPr>
          </w:pPr>
          <w:hyperlink w:anchor="_Toc223443581" w:history="1">
            <w:r w:rsidRPr="001111D6">
              <w:rPr>
                <w:rStyle w:val="Hyperlien"/>
                <w:noProof/>
              </w:rPr>
              <w:t>21| Mésentente sur l’interprétation et l’application de la politique</w:t>
            </w:r>
            <w:r>
              <w:rPr>
                <w:noProof/>
                <w:webHidden/>
              </w:rPr>
              <w:tab/>
            </w:r>
            <w:r>
              <w:rPr>
                <w:noProof/>
                <w:webHidden/>
              </w:rPr>
              <w:fldChar w:fldCharType="begin"/>
            </w:r>
            <w:r>
              <w:rPr>
                <w:noProof/>
                <w:webHidden/>
              </w:rPr>
              <w:instrText xml:space="preserve"> PAGEREF _Toc223443581 \h </w:instrText>
            </w:r>
            <w:r>
              <w:rPr>
                <w:noProof/>
                <w:webHidden/>
              </w:rPr>
            </w:r>
            <w:r>
              <w:rPr>
                <w:noProof/>
                <w:webHidden/>
              </w:rPr>
              <w:fldChar w:fldCharType="separate"/>
            </w:r>
            <w:r>
              <w:rPr>
                <w:noProof/>
                <w:webHidden/>
              </w:rPr>
              <w:t>22</w:t>
            </w:r>
            <w:r>
              <w:rPr>
                <w:noProof/>
                <w:webHidden/>
              </w:rPr>
              <w:fldChar w:fldCharType="end"/>
            </w:r>
          </w:hyperlink>
        </w:p>
        <w:p w14:paraId="2FBF29E4" w14:textId="181D5A7F" w:rsidR="005F1004" w:rsidRDefault="005F1004">
          <w:pPr>
            <w:pStyle w:val="TM1"/>
            <w:tabs>
              <w:tab w:val="right" w:leader="dot" w:pos="8630"/>
            </w:tabs>
            <w:rPr>
              <w:rFonts w:asciiTheme="minorHAnsi" w:eastAsiaTheme="minorEastAsia" w:hAnsiTheme="minorHAnsi"/>
              <w:noProof/>
              <w:sz w:val="24"/>
              <w:lang w:eastAsia="fr-CA"/>
            </w:rPr>
          </w:pPr>
          <w:hyperlink w:anchor="_Toc223443582" w:history="1">
            <w:r w:rsidRPr="001111D6">
              <w:rPr>
                <w:rStyle w:val="Hyperlien"/>
                <w:noProof/>
              </w:rPr>
              <w:t>22| Mésentente entre les personnes salariées</w:t>
            </w:r>
            <w:r>
              <w:rPr>
                <w:noProof/>
                <w:webHidden/>
              </w:rPr>
              <w:tab/>
            </w:r>
            <w:r>
              <w:rPr>
                <w:noProof/>
                <w:webHidden/>
              </w:rPr>
              <w:fldChar w:fldCharType="begin"/>
            </w:r>
            <w:r>
              <w:rPr>
                <w:noProof/>
                <w:webHidden/>
              </w:rPr>
              <w:instrText xml:space="preserve"> PAGEREF _Toc223443582 \h </w:instrText>
            </w:r>
            <w:r>
              <w:rPr>
                <w:noProof/>
                <w:webHidden/>
              </w:rPr>
            </w:r>
            <w:r>
              <w:rPr>
                <w:noProof/>
                <w:webHidden/>
              </w:rPr>
              <w:fldChar w:fldCharType="separate"/>
            </w:r>
            <w:r>
              <w:rPr>
                <w:noProof/>
                <w:webHidden/>
              </w:rPr>
              <w:t>22</w:t>
            </w:r>
            <w:r>
              <w:rPr>
                <w:noProof/>
                <w:webHidden/>
              </w:rPr>
              <w:fldChar w:fldCharType="end"/>
            </w:r>
          </w:hyperlink>
        </w:p>
        <w:p w14:paraId="52B5E3B5" w14:textId="53B6EDB6" w:rsidR="71D30AF0" w:rsidRDefault="71D30AF0" w:rsidP="71D30AF0">
          <w:pPr>
            <w:pStyle w:val="TM1"/>
            <w:tabs>
              <w:tab w:val="right" w:leader="dot" w:pos="8640"/>
            </w:tabs>
            <w:rPr>
              <w:rStyle w:val="Hyperlien"/>
            </w:rPr>
          </w:pPr>
          <w:r>
            <w:fldChar w:fldCharType="end"/>
          </w:r>
        </w:p>
      </w:sdtContent>
    </w:sdt>
    <w:p w14:paraId="07E7CFC2" w14:textId="201B8491" w:rsidR="71D30AF0" w:rsidRDefault="71D30AF0" w:rsidP="71D30AF0"/>
    <w:p w14:paraId="4BBF50AA" w14:textId="43686AF9" w:rsidR="71D30AF0" w:rsidRDefault="71D30AF0" w:rsidP="71D30AF0"/>
    <w:p w14:paraId="675D0E98" w14:textId="580E7001" w:rsidR="71D30AF0" w:rsidRDefault="71D30AF0" w:rsidP="71D30AF0">
      <w:pPr>
        <w:pStyle w:val="Titre1"/>
      </w:pPr>
    </w:p>
    <w:p w14:paraId="449E4BA4" w14:textId="72BBB9C9" w:rsidR="71D30AF0" w:rsidRDefault="71D30AF0">
      <w:r>
        <w:br w:type="page"/>
      </w:r>
    </w:p>
    <w:p w14:paraId="4DC66C65" w14:textId="78CAE15B" w:rsidR="7C23EB97" w:rsidRDefault="7C23EB97" w:rsidP="71D30AF0">
      <w:pPr>
        <w:pStyle w:val="Titre1"/>
        <w:rPr>
          <w:rFonts w:ascii="Rockwell" w:eastAsia="Rockwell" w:hAnsi="Rockwell" w:cs="Rockwell"/>
          <w:bCs/>
          <w:color w:val="003A60"/>
          <w:sz w:val="36"/>
          <w:szCs w:val="36"/>
        </w:rPr>
      </w:pPr>
      <w:bookmarkStart w:id="0" w:name="_Toc2120596246"/>
      <w:bookmarkStart w:id="1" w:name="_Toc223443523"/>
      <w:r w:rsidRPr="71D30AF0">
        <w:lastRenderedPageBreak/>
        <w:t xml:space="preserve">1| </w:t>
      </w:r>
      <w:r w:rsidR="483C7E65" w:rsidRPr="71D30AF0">
        <w:t>Préambule — Un cadre de travail aligné sur nos valeurs et engagements</w:t>
      </w:r>
      <w:bookmarkEnd w:id="0"/>
      <w:bookmarkEnd w:id="1"/>
    </w:p>
    <w:p w14:paraId="42F7A021" w14:textId="5526D7C0" w:rsidR="483C7E65" w:rsidRDefault="483C7E65" w:rsidP="71D30AF0">
      <w:pPr>
        <w:spacing w:before="240"/>
        <w:jc w:val="both"/>
        <w:rPr>
          <w:rFonts w:eastAsia="Lora" w:cs="Lora"/>
          <w:color w:val="000000" w:themeColor="text1"/>
          <w:szCs w:val="20"/>
        </w:rPr>
      </w:pPr>
      <w:r w:rsidRPr="71D30AF0">
        <w:rPr>
          <w:rFonts w:eastAsia="Lora" w:cs="Lora"/>
          <w:color w:val="000000" w:themeColor="text1"/>
          <w:szCs w:val="20"/>
        </w:rPr>
        <w:t>À la Fondation, les conditions et relations de travail ne sont pas simplement une question de conformité ou de gestion administrative ; elles sont le reflet de nos valeurs fondamentales et de notre engagement envers la justice sociale, l’équité et le bien-être collectif.</w:t>
      </w:r>
    </w:p>
    <w:p w14:paraId="004D2FA5" w14:textId="696496FD" w:rsidR="71D30AF0" w:rsidRDefault="71D30AF0" w:rsidP="71D30AF0">
      <w:pPr>
        <w:spacing w:before="240"/>
        <w:jc w:val="both"/>
        <w:rPr>
          <w:rFonts w:eastAsia="Lora" w:cs="Lora"/>
          <w:color w:val="000000" w:themeColor="text1"/>
          <w:szCs w:val="20"/>
        </w:rPr>
      </w:pPr>
    </w:p>
    <w:p w14:paraId="05D5795C" w14:textId="532525C8"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Nous concevons le travail comme un espace de contribution, d’apprentissage et de collaboration, où chaque personne employée est reconnue dans sa pleine capacité d’action et de réflexion. Nos pratiques de gestion sont ainsi pensées pour </w:t>
      </w:r>
      <w:r w:rsidRPr="71D30AF0">
        <w:rPr>
          <w:rFonts w:eastAsia="Lora" w:cs="Lora"/>
          <w:b/>
          <w:bCs/>
          <w:color w:val="000000" w:themeColor="text1"/>
          <w:szCs w:val="20"/>
        </w:rPr>
        <w:t>favoriser l’autonomie, la confiance mutuelle et l’engagement</w:t>
      </w:r>
      <w:r w:rsidRPr="71D30AF0">
        <w:rPr>
          <w:rFonts w:eastAsia="Lora" w:cs="Lora"/>
          <w:color w:val="000000" w:themeColor="text1"/>
          <w:szCs w:val="20"/>
        </w:rPr>
        <w:t>, tout en garantissant des conditions équitables et adaptées aux réalités de chacune et chacun.</w:t>
      </w:r>
    </w:p>
    <w:p w14:paraId="0FE0889A" w14:textId="2CF6CB08" w:rsidR="71D30AF0" w:rsidRDefault="71D30AF0" w:rsidP="71D30AF0">
      <w:pPr>
        <w:jc w:val="both"/>
        <w:rPr>
          <w:rFonts w:eastAsia="Lora" w:cs="Lora"/>
          <w:color w:val="000000" w:themeColor="text1"/>
          <w:szCs w:val="20"/>
        </w:rPr>
      </w:pPr>
    </w:p>
    <w:p w14:paraId="12B89CA1" w14:textId="07568D82"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Cette politique s’appuie sur une approche </w:t>
      </w:r>
      <w:r w:rsidRPr="71D30AF0">
        <w:rPr>
          <w:rFonts w:eastAsia="Lora" w:cs="Lora"/>
          <w:b/>
          <w:bCs/>
          <w:color w:val="000000" w:themeColor="text1"/>
          <w:szCs w:val="20"/>
        </w:rPr>
        <w:t>inclusive et participative</w:t>
      </w:r>
      <w:r w:rsidRPr="71D30AF0">
        <w:rPr>
          <w:rFonts w:eastAsia="Lora" w:cs="Lora"/>
          <w:color w:val="000000" w:themeColor="text1"/>
          <w:szCs w:val="20"/>
        </w:rPr>
        <w:t xml:space="preserve">, où la voix </w:t>
      </w:r>
      <w:proofErr w:type="gramStart"/>
      <w:r w:rsidRPr="71D30AF0">
        <w:rPr>
          <w:rFonts w:eastAsia="Lora" w:cs="Lora"/>
          <w:color w:val="000000" w:themeColor="text1"/>
          <w:szCs w:val="20"/>
        </w:rPr>
        <w:t>des employé</w:t>
      </w:r>
      <w:proofErr w:type="gramEnd"/>
      <w:r w:rsidRPr="71D30AF0">
        <w:rPr>
          <w:rFonts w:eastAsia="Lora" w:cs="Lora"/>
          <w:color w:val="000000" w:themeColor="text1"/>
          <w:szCs w:val="20"/>
        </w:rPr>
        <w:t>.</w:t>
      </w:r>
      <w:proofErr w:type="gramStart"/>
      <w:r w:rsidRPr="71D30AF0">
        <w:rPr>
          <w:rFonts w:eastAsia="Lora" w:cs="Lora"/>
          <w:color w:val="000000" w:themeColor="text1"/>
          <w:szCs w:val="20"/>
        </w:rPr>
        <w:t>e.s</w:t>
      </w:r>
      <w:proofErr w:type="gramEnd"/>
      <w:r w:rsidRPr="71D30AF0">
        <w:rPr>
          <w:rFonts w:eastAsia="Lora" w:cs="Lora"/>
          <w:color w:val="000000" w:themeColor="text1"/>
          <w:szCs w:val="20"/>
        </w:rPr>
        <w:t xml:space="preserve"> est prise en compte dans l’évolution des pratiques internes. Cette politique est un document vivant, évolutif et adaptable, qui sera révisé régulièrement pour s’assurer qu’il demeure aligné avec nos valeurs, les meilleures pratiques du secteur et les besoins de notre équipe.</w:t>
      </w:r>
    </w:p>
    <w:p w14:paraId="3F34699C" w14:textId="1AD8F159" w:rsidR="064A29AA" w:rsidRDefault="064A29AA" w:rsidP="71D30AF0">
      <w:pPr>
        <w:pStyle w:val="Titre1"/>
        <w:rPr>
          <w:rFonts w:ascii="Rockwell" w:eastAsia="Rockwell" w:hAnsi="Rockwell" w:cs="Rockwell"/>
          <w:bCs/>
          <w:color w:val="003A60"/>
          <w:sz w:val="36"/>
          <w:szCs w:val="36"/>
        </w:rPr>
      </w:pPr>
      <w:bookmarkStart w:id="2" w:name="_Toc827167820"/>
      <w:bookmarkStart w:id="3" w:name="_Toc223443524"/>
      <w:r w:rsidRPr="71D30AF0">
        <w:t xml:space="preserve">2| </w:t>
      </w:r>
      <w:r w:rsidR="483C7E65" w:rsidRPr="71D30AF0">
        <w:t>Introduction – portée et application</w:t>
      </w:r>
      <w:bookmarkEnd w:id="2"/>
      <w:bookmarkEnd w:id="3"/>
    </w:p>
    <w:p w14:paraId="71817029" w14:textId="17B32358" w:rsidR="483C7E65" w:rsidRDefault="483C7E65" w:rsidP="71D30AF0">
      <w:pPr>
        <w:jc w:val="both"/>
        <w:rPr>
          <w:rFonts w:ascii="Calibri" w:eastAsia="Calibri" w:hAnsi="Calibri" w:cs="Calibri"/>
          <w:color w:val="000000" w:themeColor="text1"/>
          <w:szCs w:val="20"/>
        </w:rPr>
      </w:pPr>
      <w:r w:rsidRPr="71D30AF0">
        <w:t>Cette politique des conditions de travail définit les conditions de travail des personnes employées régulières (temps plein ou temps partiel) à la Fondation Béati.   Les personnes employées embauchées à titre temporaire ou à contrat ne sont pas visées par cette politique. Cette politique concerne la direction générale sauf pour ce qui est spécifique au contrat de cette personne.</w:t>
      </w:r>
    </w:p>
    <w:p w14:paraId="4816848B" w14:textId="08031E41" w:rsidR="71D30AF0" w:rsidRDefault="71D30AF0" w:rsidP="71D30AF0">
      <w:pPr>
        <w:jc w:val="both"/>
      </w:pPr>
    </w:p>
    <w:p w14:paraId="7843A7F6" w14:textId="333A7A51" w:rsidR="483C7E65" w:rsidRDefault="483C7E65" w:rsidP="71D30AF0">
      <w:pPr>
        <w:jc w:val="both"/>
        <w:rPr>
          <w:rFonts w:ascii="Calibri" w:eastAsia="Calibri" w:hAnsi="Calibri" w:cs="Calibri"/>
          <w:color w:val="000000" w:themeColor="text1"/>
          <w:szCs w:val="20"/>
        </w:rPr>
      </w:pPr>
      <w:r w:rsidRPr="71D30AF0">
        <w:t>La Fondation Béati compte deux années de référence en ce qui concerne les conditions de travail. L'année de référence pour les vacances est du 1er mai au 30 avril. L’année de référence des autres conditions de travail (Ex : les congés, les indexations de salaire) se réfère à l’année fiscale, soit du 1er septembre au 31 août. </w:t>
      </w:r>
    </w:p>
    <w:p w14:paraId="5C2F6B36" w14:textId="3BBD8F99" w:rsidR="71D30AF0" w:rsidRDefault="71D30AF0" w:rsidP="71D30AF0">
      <w:pPr>
        <w:jc w:val="both"/>
      </w:pPr>
    </w:p>
    <w:p w14:paraId="289EE0EC" w14:textId="6D3F682B" w:rsidR="483C7E65" w:rsidRDefault="483C7E65" w:rsidP="71D30AF0">
      <w:pPr>
        <w:jc w:val="both"/>
        <w:rPr>
          <w:rFonts w:ascii="Calibri" w:eastAsia="Calibri" w:hAnsi="Calibri" w:cs="Calibri"/>
          <w:color w:val="000000" w:themeColor="text1"/>
          <w:szCs w:val="20"/>
        </w:rPr>
      </w:pPr>
      <w:r w:rsidRPr="71D30AF0">
        <w:t>Les conditions de travail prévues dans la présente politique sont sur une base de travail de 35h/semaine. Les conditions de travail (Ex. : congés maladies, fériés, vacances, etc.) des personnes employées qui travaillent moins de 35h /semaine seront calculées au prorata des heures de travail, sous réserve des droits prévus à la Loi sur les normes du travail (ci-après LNT ou la Loi).  </w:t>
      </w:r>
    </w:p>
    <w:p w14:paraId="25F54220" w14:textId="4B600336" w:rsidR="71D30AF0" w:rsidRDefault="71D30AF0" w:rsidP="71D30AF0">
      <w:pPr>
        <w:jc w:val="both"/>
      </w:pPr>
    </w:p>
    <w:p w14:paraId="4CE78246" w14:textId="22F31BD1" w:rsidR="483C7E65" w:rsidRDefault="483C7E65" w:rsidP="71D30AF0">
      <w:pPr>
        <w:jc w:val="both"/>
        <w:rPr>
          <w:rFonts w:ascii="Calibri" w:eastAsia="Calibri" w:hAnsi="Calibri" w:cs="Calibri"/>
          <w:color w:val="000000" w:themeColor="text1"/>
          <w:szCs w:val="20"/>
        </w:rPr>
      </w:pPr>
      <w:r w:rsidRPr="71D30AF0">
        <w:t>Le nombre de jours de congé maladie est un nombre fixe de jours en fonction</w:t>
      </w:r>
      <w:r w:rsidR="7DD547E0" w:rsidRPr="71D30AF0">
        <w:t xml:space="preserve"> d’une présence</w:t>
      </w:r>
      <w:r w:rsidRPr="71D30AF0">
        <w:t xml:space="preserve"> continue au travail. Il sera modifié si la personne employée est absente de la Fondation (congé maladie, congé sans solde, etc.), sous réserve des droits prévus à la Loi sur les normes du travail. </w:t>
      </w:r>
    </w:p>
    <w:p w14:paraId="2840722C" w14:textId="63C8BE4D" w:rsidR="71D30AF0" w:rsidRDefault="71D30AF0" w:rsidP="71D30AF0">
      <w:pPr>
        <w:jc w:val="both"/>
      </w:pPr>
    </w:p>
    <w:p w14:paraId="62F6D393" w14:textId="41F6288F" w:rsidR="483C7E65" w:rsidRDefault="483C7E65" w:rsidP="71D30AF0">
      <w:pPr>
        <w:jc w:val="both"/>
        <w:rPr>
          <w:rFonts w:ascii="Calibri" w:eastAsia="Calibri" w:hAnsi="Calibri" w:cs="Calibri"/>
          <w:color w:val="000000" w:themeColor="text1"/>
          <w:szCs w:val="20"/>
        </w:rPr>
      </w:pPr>
      <w:r w:rsidRPr="71D30AF0">
        <w:lastRenderedPageBreak/>
        <w:t>Le nombre de jours de congé maladie est un nombre fixe de jours. Il ne sera pas modifié en cas de temps supplémentaire.  </w:t>
      </w:r>
    </w:p>
    <w:p w14:paraId="3F483F42" w14:textId="3D7A1168" w:rsidR="7E05D94F" w:rsidRDefault="7E05D94F" w:rsidP="71D30AF0">
      <w:pPr>
        <w:pStyle w:val="Titre1"/>
      </w:pPr>
      <w:bookmarkStart w:id="4" w:name="_Toc171703846"/>
      <w:bookmarkStart w:id="5" w:name="_Toc223443525"/>
      <w:r w:rsidRPr="71D30AF0">
        <w:t xml:space="preserve">3| </w:t>
      </w:r>
      <w:r w:rsidR="483C7E65" w:rsidRPr="71D30AF0">
        <w:t>Définitions</w:t>
      </w:r>
      <w:bookmarkEnd w:id="4"/>
      <w:bookmarkEnd w:id="5"/>
      <w:r w:rsidR="483C7E65" w:rsidRPr="71D30AF0">
        <w:t xml:space="preserve"> </w:t>
      </w:r>
    </w:p>
    <w:p w14:paraId="7FB5E442" w14:textId="4D466967" w:rsidR="483C7E65" w:rsidRDefault="483C7E65" w:rsidP="71D30AF0">
      <w:pPr>
        <w:jc w:val="both"/>
        <w:rPr>
          <w:rFonts w:eastAsia="Lora" w:cs="Lora"/>
          <w:color w:val="000000" w:themeColor="text1"/>
          <w:szCs w:val="20"/>
        </w:rPr>
      </w:pPr>
      <w:r w:rsidRPr="71D30AF0">
        <w:rPr>
          <w:rFonts w:eastAsia="Lora" w:cs="Lora"/>
          <w:b/>
          <w:bCs/>
          <w:color w:val="000000" w:themeColor="text1"/>
          <w:szCs w:val="20"/>
        </w:rPr>
        <w:t>Direction générale :</w:t>
      </w:r>
      <w:r w:rsidRPr="71D30AF0">
        <w:rPr>
          <w:rFonts w:eastAsia="Lora" w:cs="Lora"/>
          <w:color w:val="000000" w:themeColor="text1"/>
          <w:szCs w:val="20"/>
        </w:rPr>
        <w:t> La direction générale est un terme caractérisant l'organisation générale de la direction.  La direction générale est confiée à la personne qui est investie en tant que directrice générale.  La personne qui assume ce mandat relève directement du CA. </w:t>
      </w:r>
    </w:p>
    <w:p w14:paraId="217C6307" w14:textId="61E53AA4" w:rsidR="71D30AF0" w:rsidRDefault="71D30AF0" w:rsidP="71D30AF0">
      <w:pPr>
        <w:jc w:val="both"/>
        <w:rPr>
          <w:rFonts w:eastAsia="Lora" w:cs="Lora"/>
          <w:color w:val="000000" w:themeColor="text1"/>
          <w:szCs w:val="20"/>
        </w:rPr>
      </w:pPr>
    </w:p>
    <w:p w14:paraId="19B96CC7" w14:textId="58499A42" w:rsidR="483C7E65" w:rsidRDefault="483C7E65" w:rsidP="71D30AF0">
      <w:pPr>
        <w:jc w:val="both"/>
        <w:rPr>
          <w:rFonts w:eastAsia="Lora" w:cs="Lora"/>
          <w:color w:val="000000" w:themeColor="text1"/>
          <w:szCs w:val="20"/>
        </w:rPr>
      </w:pPr>
      <w:r w:rsidRPr="71D30AF0">
        <w:rPr>
          <w:rFonts w:eastAsia="Lora" w:cs="Lora"/>
          <w:b/>
          <w:bCs/>
          <w:color w:val="000000" w:themeColor="text1"/>
          <w:szCs w:val="20"/>
        </w:rPr>
        <w:t>Fondation Béati :</w:t>
      </w:r>
      <w:r w:rsidRPr="71D30AF0">
        <w:rPr>
          <w:rFonts w:eastAsia="Lora" w:cs="Lora"/>
          <w:color w:val="000000" w:themeColor="text1"/>
          <w:szCs w:val="20"/>
        </w:rPr>
        <w:t>  désigne ici l’employeur, représenté par le conseil d'administration et ses officier.ère.s. </w:t>
      </w:r>
    </w:p>
    <w:p w14:paraId="1FC638AC" w14:textId="15A1A8A1" w:rsidR="71D30AF0" w:rsidRDefault="71D30AF0" w:rsidP="71D30AF0">
      <w:pPr>
        <w:jc w:val="both"/>
        <w:rPr>
          <w:rFonts w:eastAsia="Lora" w:cs="Lora"/>
          <w:color w:val="000000" w:themeColor="text1"/>
          <w:szCs w:val="20"/>
        </w:rPr>
      </w:pPr>
    </w:p>
    <w:p w14:paraId="3F17532C" w14:textId="338CA381" w:rsidR="483C7E65" w:rsidRDefault="483C7E65" w:rsidP="71D30AF0">
      <w:pPr>
        <w:jc w:val="both"/>
        <w:rPr>
          <w:rFonts w:eastAsia="Lora" w:cs="Lora"/>
          <w:color w:val="000000" w:themeColor="text1"/>
          <w:szCs w:val="20"/>
        </w:rPr>
      </w:pPr>
      <w:r w:rsidRPr="71D30AF0">
        <w:rPr>
          <w:rFonts w:eastAsia="Lora" w:cs="Lora"/>
          <w:b/>
          <w:bCs/>
          <w:color w:val="000000" w:themeColor="text1"/>
          <w:szCs w:val="20"/>
        </w:rPr>
        <w:t>Personne employée :</w:t>
      </w:r>
      <w:r w:rsidRPr="71D30AF0">
        <w:rPr>
          <w:rFonts w:eastAsia="Lora" w:cs="Lora"/>
          <w:color w:val="000000" w:themeColor="text1"/>
          <w:szCs w:val="20"/>
        </w:rPr>
        <w:t xml:space="preserve"> Désigne toute personne à l’emploi de la Fondation Béati.   </w:t>
      </w:r>
    </w:p>
    <w:p w14:paraId="277DF884" w14:textId="300D084C" w:rsidR="71D30AF0" w:rsidRDefault="71D30AF0" w:rsidP="71D30AF0">
      <w:pPr>
        <w:jc w:val="both"/>
        <w:rPr>
          <w:rFonts w:eastAsia="Lora" w:cs="Lora"/>
          <w:color w:val="000000" w:themeColor="text1"/>
          <w:szCs w:val="20"/>
        </w:rPr>
      </w:pPr>
    </w:p>
    <w:p w14:paraId="7930EA47" w14:textId="2BE3C9D7" w:rsidR="483C7E65" w:rsidRDefault="483C7E65" w:rsidP="71D30AF0">
      <w:pPr>
        <w:jc w:val="both"/>
        <w:rPr>
          <w:rFonts w:eastAsia="Lora" w:cs="Lora"/>
          <w:color w:val="000000" w:themeColor="text1"/>
          <w:szCs w:val="20"/>
        </w:rPr>
      </w:pPr>
      <w:r w:rsidRPr="71D30AF0">
        <w:rPr>
          <w:rFonts w:eastAsia="Lora" w:cs="Lora"/>
          <w:b/>
          <w:bCs/>
          <w:color w:val="000000" w:themeColor="text1"/>
          <w:szCs w:val="20"/>
        </w:rPr>
        <w:t>Personne employée régulière à temps plein :</w:t>
      </w:r>
      <w:r w:rsidRPr="71D30AF0">
        <w:rPr>
          <w:rFonts w:eastAsia="Lora" w:cs="Lora"/>
          <w:color w:val="000000" w:themeColor="text1"/>
          <w:szCs w:val="20"/>
        </w:rPr>
        <w:t xml:space="preserve"> Personne qui travaille le nombre d’heures prévu à la semaine, travaille habituellement quatre-vingts pour cent (80%) de ce nombre d’heures ou plus. </w:t>
      </w:r>
    </w:p>
    <w:p w14:paraId="7BE3496E" w14:textId="6648894A" w:rsidR="71D30AF0" w:rsidRDefault="71D30AF0" w:rsidP="71D30AF0">
      <w:pPr>
        <w:jc w:val="both"/>
        <w:rPr>
          <w:rFonts w:eastAsia="Lora" w:cs="Lora"/>
          <w:color w:val="000000" w:themeColor="text1"/>
          <w:szCs w:val="20"/>
        </w:rPr>
      </w:pPr>
    </w:p>
    <w:p w14:paraId="4B9BC120" w14:textId="67A121B7" w:rsidR="483C7E65" w:rsidRDefault="483C7E65" w:rsidP="71D30AF0">
      <w:pPr>
        <w:jc w:val="both"/>
        <w:rPr>
          <w:rFonts w:eastAsia="Lora" w:cs="Lora"/>
          <w:color w:val="000000" w:themeColor="text1"/>
          <w:szCs w:val="20"/>
        </w:rPr>
      </w:pPr>
      <w:r w:rsidRPr="71D30AF0">
        <w:rPr>
          <w:rFonts w:eastAsia="Lora" w:cs="Lora"/>
          <w:b/>
          <w:bCs/>
          <w:color w:val="000000" w:themeColor="text1"/>
          <w:szCs w:val="20"/>
        </w:rPr>
        <w:t>Personne employée régulière à temps partiel :</w:t>
      </w:r>
      <w:r w:rsidRPr="71D30AF0">
        <w:rPr>
          <w:rFonts w:eastAsia="Lora" w:cs="Lora"/>
          <w:color w:val="000000" w:themeColor="text1"/>
          <w:szCs w:val="20"/>
        </w:rPr>
        <w:t> Personne qui travaille habituellement moins de quatre-vingts pour cent (80%) du nombre d’heures prévu à la semaine régulière. </w:t>
      </w:r>
    </w:p>
    <w:p w14:paraId="2D2BB0C5" w14:textId="77D09E3B" w:rsidR="71D30AF0" w:rsidRDefault="71D30AF0" w:rsidP="71D30AF0">
      <w:pPr>
        <w:jc w:val="both"/>
        <w:rPr>
          <w:rFonts w:eastAsia="Lora" w:cs="Lora"/>
          <w:color w:val="000000" w:themeColor="text1"/>
          <w:szCs w:val="20"/>
        </w:rPr>
      </w:pPr>
    </w:p>
    <w:p w14:paraId="653CD30D" w14:textId="4C4580D2" w:rsidR="483C7E65" w:rsidRDefault="483C7E65" w:rsidP="71D30AF0">
      <w:pPr>
        <w:jc w:val="both"/>
        <w:rPr>
          <w:rFonts w:eastAsia="Lora" w:cs="Lora"/>
          <w:color w:val="000000" w:themeColor="text1"/>
          <w:szCs w:val="20"/>
        </w:rPr>
      </w:pPr>
      <w:r w:rsidRPr="71D30AF0">
        <w:rPr>
          <w:rFonts w:eastAsia="Lora" w:cs="Lora"/>
          <w:b/>
          <w:bCs/>
          <w:color w:val="000000" w:themeColor="text1"/>
          <w:szCs w:val="20"/>
        </w:rPr>
        <w:t>Personne employée temporaire ou contractuelle :</w:t>
      </w:r>
      <w:r w:rsidRPr="71D30AF0">
        <w:rPr>
          <w:rFonts w:eastAsia="Lora" w:cs="Lora"/>
          <w:color w:val="000000" w:themeColor="text1"/>
          <w:szCs w:val="20"/>
        </w:rPr>
        <w:t>  Une personne embauchée à titre temporaire ou à contrat pour remplacer une personne employée absente ou pour effectuer un mandat spécifique. </w:t>
      </w:r>
    </w:p>
    <w:p w14:paraId="32DD8FBD" w14:textId="5B5C1028" w:rsidR="5E5044EE" w:rsidRDefault="5E5044EE" w:rsidP="71D30AF0">
      <w:pPr>
        <w:pStyle w:val="Titre1"/>
      </w:pPr>
      <w:bookmarkStart w:id="6" w:name="_Toc830694558"/>
      <w:bookmarkStart w:id="7" w:name="_Toc223443526"/>
      <w:r w:rsidRPr="71D30AF0">
        <w:t xml:space="preserve">4| </w:t>
      </w:r>
      <w:r w:rsidR="483C7E65" w:rsidRPr="71D30AF0">
        <w:t>Principes directeurs</w:t>
      </w:r>
      <w:bookmarkEnd w:id="6"/>
      <w:bookmarkEnd w:id="7"/>
      <w:r w:rsidR="483C7E65" w:rsidRPr="71D30AF0">
        <w:t xml:space="preserve"> </w:t>
      </w:r>
    </w:p>
    <w:p w14:paraId="486543A8" w14:textId="661D764A" w:rsidR="483C7E65" w:rsidRDefault="483C7E65" w:rsidP="71D30AF0">
      <w:pPr>
        <w:jc w:val="both"/>
        <w:rPr>
          <w:rFonts w:eastAsia="Lora" w:cs="Lora"/>
          <w:color w:val="000000" w:themeColor="text1"/>
          <w:szCs w:val="20"/>
        </w:rPr>
      </w:pPr>
      <w:r w:rsidRPr="71D30AF0">
        <w:rPr>
          <w:rFonts w:eastAsia="Lora" w:cs="Lora"/>
          <w:color w:val="000000" w:themeColor="text1"/>
          <w:szCs w:val="20"/>
        </w:rPr>
        <w:t>Comme pour toute politique ou cadre directeur; les grands fondamentaux de la fondation dont sa vision, sa mission et ses valeurs constituent les points cardinaux de sa boussole éthique et orientent l’ensemble de ses actions. Cela dit, Béati s’est aussi dotée de principes directeurs spécifiques aux conditions et relations de travail qui servent d’assise à l’ensemble</w:t>
      </w:r>
      <w:r w:rsidR="45F96FFD" w:rsidRPr="71D30AF0">
        <w:rPr>
          <w:rFonts w:eastAsia="Lora" w:cs="Lora"/>
          <w:color w:val="000000" w:themeColor="text1"/>
          <w:szCs w:val="20"/>
        </w:rPr>
        <w:t xml:space="preserve"> </w:t>
      </w:r>
      <w:r w:rsidRPr="71D30AF0">
        <w:rPr>
          <w:rFonts w:eastAsia="Lora" w:cs="Lora"/>
          <w:color w:val="000000" w:themeColor="text1"/>
          <w:szCs w:val="20"/>
        </w:rPr>
        <w:t xml:space="preserve">des personnes de son équipe afin de soutenir la réalisation de sa mission au quotidien en toute cohérence à celle-ci.  </w:t>
      </w:r>
    </w:p>
    <w:p w14:paraId="444CEBF1" w14:textId="5999E90F"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 </w:t>
      </w:r>
    </w:p>
    <w:p w14:paraId="21E7C47E" w14:textId="34037DB9" w:rsidR="483C7E65" w:rsidRDefault="483C7E65" w:rsidP="71D30AF0">
      <w:pPr>
        <w:jc w:val="both"/>
        <w:rPr>
          <w:rFonts w:eastAsia="Lora" w:cs="Lora"/>
          <w:color w:val="000000" w:themeColor="text1"/>
          <w:szCs w:val="20"/>
        </w:rPr>
      </w:pPr>
      <w:r w:rsidRPr="71D30AF0">
        <w:rPr>
          <w:rFonts w:eastAsia="Lora" w:cs="Lora"/>
          <w:color w:val="000000" w:themeColor="text1"/>
          <w:szCs w:val="20"/>
        </w:rPr>
        <w:t>Les 7 principes suivants servent donc à orienter et à baliser les conditions et l’organisation du travail. </w:t>
      </w:r>
    </w:p>
    <w:p w14:paraId="0C27C572" w14:textId="19E3D2AB"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t>L’autonomie des personnes </w:t>
      </w:r>
      <w:r w:rsidRPr="71D30AF0">
        <w:rPr>
          <w:rFonts w:eastAsia="Lora" w:cs="Lora"/>
          <w:color w:val="31595C" w:themeColor="accent1"/>
          <w:szCs w:val="20"/>
        </w:rPr>
        <w:t xml:space="preserve">: favorise le développement des compétences des personnes employées afin qu’elles puissent participer pleinement au développement de l’organisation. </w:t>
      </w:r>
    </w:p>
    <w:p w14:paraId="511E4791" w14:textId="4F1BA7C3"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t>L’accessibilité</w:t>
      </w:r>
      <w:r w:rsidRPr="71D30AF0">
        <w:rPr>
          <w:rFonts w:eastAsia="Lora" w:cs="Lora"/>
          <w:color w:val="31595C" w:themeColor="accent1"/>
          <w:szCs w:val="20"/>
        </w:rPr>
        <w:t xml:space="preserve"> : en prenant compte des spécificités des personnes employées, assure l’accès facile, optimal et adapté aux outils, aux structures, aux espaces et aux informations. </w:t>
      </w:r>
    </w:p>
    <w:p w14:paraId="674E5BF9" w14:textId="59792B71"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lastRenderedPageBreak/>
        <w:t>La créativité </w:t>
      </w:r>
      <w:r w:rsidRPr="71D30AF0">
        <w:rPr>
          <w:rFonts w:eastAsia="Lora" w:cs="Lora"/>
          <w:color w:val="31595C" w:themeColor="accent1"/>
          <w:szCs w:val="20"/>
        </w:rPr>
        <w:t xml:space="preserve">: reconnait l’importance de soutenir et développer les conditions nécessaires à l’émergence de solutions nouvelles et originales, et donc notamment; l’ouverture à l’expérimentation, l’essai-erreur ainsi que l’innovation. </w:t>
      </w:r>
    </w:p>
    <w:p w14:paraId="798326F9" w14:textId="7267B9CF"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t xml:space="preserve">L'équité </w:t>
      </w:r>
      <w:r w:rsidRPr="71D30AF0">
        <w:rPr>
          <w:rFonts w:eastAsia="Lora" w:cs="Lora"/>
          <w:color w:val="31595C" w:themeColor="accent1"/>
          <w:szCs w:val="20"/>
        </w:rPr>
        <w:t>: vise une juste représentation, traitement et reconnaissance professionnelle.</w:t>
      </w:r>
    </w:p>
    <w:p w14:paraId="2BF3C9EB" w14:textId="3F5537D4"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t>L’évolution organisationnelle en continu :</w:t>
      </w:r>
      <w:r w:rsidRPr="71D30AF0">
        <w:rPr>
          <w:rFonts w:eastAsia="Lora" w:cs="Lora"/>
          <w:color w:val="31595C" w:themeColor="accent1"/>
          <w:szCs w:val="20"/>
        </w:rPr>
        <w:t xml:space="preserve"> reconnait l’apprentissage, la mobilisation des connaissances, l’intelligence collective et l’ouverture au changement comme impératifs et nécessaires à l’exercice de nos fonctions.</w:t>
      </w:r>
    </w:p>
    <w:p w14:paraId="0522D547" w14:textId="081F97C3"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t xml:space="preserve">La responsabilité et l’imputabilité </w:t>
      </w:r>
      <w:r w:rsidRPr="71D30AF0">
        <w:rPr>
          <w:rFonts w:eastAsia="Lora" w:cs="Lora"/>
          <w:color w:val="31595C" w:themeColor="accent1"/>
          <w:szCs w:val="20"/>
        </w:rPr>
        <w:t xml:space="preserve">: reconnait l’obligation par toutes les personnes de l’équipe de répondre et d’assumer de ses actes, et des responsabilités découlant de son rôle et d'en supporter toutes les conséquences. </w:t>
      </w:r>
    </w:p>
    <w:p w14:paraId="4E8B115A" w14:textId="2AC0A0C4" w:rsidR="483C7E65" w:rsidRDefault="483C7E65" w:rsidP="71D30AF0">
      <w:pPr>
        <w:pStyle w:val="Paragraphedeliste"/>
        <w:numPr>
          <w:ilvl w:val="0"/>
          <w:numId w:val="35"/>
        </w:numPr>
        <w:spacing w:before="240"/>
        <w:jc w:val="both"/>
        <w:rPr>
          <w:rFonts w:eastAsia="Lora" w:cs="Lora"/>
          <w:color w:val="31595C" w:themeColor="accent1"/>
          <w:szCs w:val="20"/>
        </w:rPr>
      </w:pPr>
      <w:r w:rsidRPr="71D30AF0">
        <w:rPr>
          <w:rFonts w:eastAsia="Lora" w:cs="Lora"/>
          <w:b/>
          <w:bCs/>
          <w:color w:val="31595C" w:themeColor="accent1"/>
          <w:szCs w:val="20"/>
        </w:rPr>
        <w:t>Le bien-être :</w:t>
      </w:r>
      <w:r w:rsidRPr="71D30AF0">
        <w:rPr>
          <w:rFonts w:eastAsia="Lora" w:cs="Lora"/>
          <w:color w:val="31595C" w:themeColor="accent1"/>
          <w:szCs w:val="20"/>
        </w:rPr>
        <w:t xml:space="preserve"> est un souci collectif de veiller à la santé physique, psychique, affective et mentale de l’ensemble des personnes de l’équipe, et ce, notamment en visant un équilibre entre vie personnelle, vie citoyenne et vie professionnelle, une écoute et proactivité sur les facteurs de risque et un respect de la confidentialité et de la vie privée et personnelle.</w:t>
      </w:r>
    </w:p>
    <w:p w14:paraId="7397A831" w14:textId="2928BFC4" w:rsidR="7E3A699A" w:rsidRDefault="7E3A699A" w:rsidP="71D30AF0">
      <w:pPr>
        <w:pStyle w:val="Titre1"/>
      </w:pPr>
      <w:bookmarkStart w:id="8" w:name="_Toc1522143749"/>
      <w:bookmarkStart w:id="9" w:name="_Toc223443527"/>
      <w:r w:rsidRPr="71D30AF0">
        <w:t xml:space="preserve">5| </w:t>
      </w:r>
      <w:r w:rsidR="483C7E65" w:rsidRPr="71D30AF0">
        <w:t>Temps de travail</w:t>
      </w:r>
      <w:bookmarkEnd w:id="8"/>
      <w:bookmarkEnd w:id="9"/>
      <w:r w:rsidR="483C7E65" w:rsidRPr="71D30AF0">
        <w:t xml:space="preserve"> </w:t>
      </w:r>
    </w:p>
    <w:p w14:paraId="07B83AE0" w14:textId="043DA1AB" w:rsidR="483C7E65" w:rsidRDefault="483C7E65" w:rsidP="71D30AF0">
      <w:pPr>
        <w:pStyle w:val="Titre2"/>
        <w:spacing w:before="40" w:after="0"/>
        <w:jc w:val="both"/>
        <w:rPr>
          <w:rFonts w:ascii="Rockwell" w:eastAsia="Rockwell" w:hAnsi="Rockwell" w:cs="Rockwell"/>
          <w:bCs/>
          <w:color w:val="287FA5"/>
          <w:szCs w:val="28"/>
        </w:rPr>
      </w:pPr>
      <w:r w:rsidRPr="71D30AF0">
        <w:rPr>
          <w:rFonts w:ascii="Rockwell" w:eastAsia="Rockwell" w:hAnsi="Rockwell" w:cs="Rockwell"/>
          <w:bCs/>
          <w:color w:val="287FA5"/>
          <w:szCs w:val="28"/>
        </w:rPr>
        <w:t> </w:t>
      </w:r>
      <w:bookmarkStart w:id="10" w:name="_Toc1918396506"/>
      <w:bookmarkStart w:id="11" w:name="_Toc223443528"/>
      <w:r w:rsidRPr="71D30AF0">
        <w:rPr>
          <w:rStyle w:val="Titre2Car"/>
        </w:rPr>
        <w:t>Définition du temps de travail</w:t>
      </w:r>
      <w:bookmarkEnd w:id="10"/>
      <w:bookmarkEnd w:id="11"/>
      <w:r w:rsidRPr="71D30AF0">
        <w:rPr>
          <w:rStyle w:val="Titre2Car"/>
        </w:rPr>
        <w:t> </w:t>
      </w:r>
    </w:p>
    <w:p w14:paraId="1B385CDA" w14:textId="6F3F6A35" w:rsidR="483C7E65" w:rsidRDefault="483C7E65" w:rsidP="71D30AF0">
      <w:pPr>
        <w:jc w:val="both"/>
        <w:rPr>
          <w:rFonts w:eastAsia="Lora" w:cs="Lora"/>
          <w:color w:val="000000" w:themeColor="text1"/>
          <w:szCs w:val="20"/>
        </w:rPr>
      </w:pPr>
      <w:r w:rsidRPr="71D30AF0">
        <w:rPr>
          <w:rFonts w:eastAsia="Lora" w:cs="Lora"/>
          <w:color w:val="000000" w:themeColor="text1"/>
          <w:szCs w:val="20"/>
        </w:rPr>
        <w:t>Le temps de travail effectif est le temps pendant lequel la personne employée se doit d’être à la disposition de la Fondation Béati et doit se conformer à ses directives et politiques, ceci contre rémunération.</w:t>
      </w:r>
      <w:r w:rsidRPr="71D30AF0">
        <w:rPr>
          <w:rFonts w:eastAsia="Lora" w:cs="Lora"/>
          <w:color w:val="000000" w:themeColor="text1"/>
          <w:sz w:val="24"/>
        </w:rPr>
        <w:t>  </w:t>
      </w:r>
      <w:r w:rsidR="498D3B26" w:rsidRPr="71D30AF0">
        <w:rPr>
          <w:rFonts w:eastAsia="Lora" w:cs="Lora"/>
          <w:color w:val="000000" w:themeColor="text1"/>
          <w:sz w:val="24"/>
        </w:rPr>
        <w:t xml:space="preserve"> </w:t>
      </w:r>
      <w:r w:rsidRPr="71D30AF0">
        <w:rPr>
          <w:rFonts w:eastAsia="Lora" w:cs="Lora"/>
          <w:color w:val="000000" w:themeColor="text1"/>
          <w:szCs w:val="20"/>
        </w:rPr>
        <w:t xml:space="preserve">Les temps de pause sont rémunérés et sont considérés comme un moment où la personne employée est à la disposition de l’employeur, tel que précisé par la </w:t>
      </w:r>
      <w:r w:rsidRPr="71D30AF0">
        <w:rPr>
          <w:rFonts w:eastAsia="Lora" w:cs="Lora"/>
          <w:i/>
          <w:iCs/>
          <w:color w:val="000000" w:themeColor="text1"/>
          <w:szCs w:val="20"/>
        </w:rPr>
        <w:t>Loi sur les normes du travail.</w:t>
      </w:r>
      <w:r w:rsidRPr="71D30AF0">
        <w:rPr>
          <w:rFonts w:eastAsia="Lora" w:cs="Lora"/>
          <w:color w:val="000000" w:themeColor="text1"/>
          <w:szCs w:val="20"/>
        </w:rPr>
        <w:t> </w:t>
      </w:r>
    </w:p>
    <w:p w14:paraId="3DFB0FAC" w14:textId="5B3B63D5" w:rsidR="71D30AF0" w:rsidRDefault="71D30AF0" w:rsidP="71D30AF0">
      <w:pPr>
        <w:jc w:val="both"/>
        <w:rPr>
          <w:rFonts w:eastAsia="Lora" w:cs="Lora"/>
          <w:color w:val="000000" w:themeColor="text1"/>
          <w:szCs w:val="20"/>
        </w:rPr>
      </w:pPr>
    </w:p>
    <w:p w14:paraId="1307C835" w14:textId="55F0D39D" w:rsidR="483C7E65" w:rsidRDefault="483C7E65" w:rsidP="71D30AF0">
      <w:pPr>
        <w:jc w:val="both"/>
        <w:rPr>
          <w:rFonts w:eastAsia="Lora" w:cs="Lora"/>
          <w:color w:val="000000" w:themeColor="text1"/>
          <w:szCs w:val="20"/>
        </w:rPr>
      </w:pPr>
      <w:r w:rsidRPr="71D30AF0">
        <w:rPr>
          <w:rFonts w:eastAsia="Lora" w:cs="Lora"/>
          <w:color w:val="000000" w:themeColor="text1"/>
          <w:szCs w:val="20"/>
        </w:rPr>
        <w:t>De façon générale, ne constitue pas du temps de travail effectif :  </w:t>
      </w:r>
    </w:p>
    <w:p w14:paraId="27857A65" w14:textId="3ED65A44" w:rsidR="483C7E65" w:rsidRDefault="483C7E65" w:rsidP="71D30AF0">
      <w:pPr>
        <w:pStyle w:val="Paragraphedeliste"/>
        <w:numPr>
          <w:ilvl w:val="0"/>
          <w:numId w:val="3"/>
        </w:numPr>
        <w:spacing w:before="240" w:after="400"/>
        <w:jc w:val="both"/>
        <w:rPr>
          <w:rFonts w:eastAsia="Lora" w:cs="Lora"/>
          <w:color w:val="003A60"/>
          <w:sz w:val="24"/>
        </w:rPr>
      </w:pPr>
      <w:r w:rsidRPr="71D30AF0">
        <w:rPr>
          <w:rFonts w:eastAsia="Lora" w:cs="Lora"/>
          <w:color w:val="003A60"/>
          <w:szCs w:val="20"/>
        </w:rPr>
        <w:t>Les temps de repas, que la personne employée peut utiliser à sa discrétion</w:t>
      </w:r>
      <w:r w:rsidRPr="71D30AF0">
        <w:rPr>
          <w:rFonts w:eastAsia="Lora" w:cs="Lora"/>
          <w:color w:val="003A60"/>
          <w:sz w:val="24"/>
        </w:rPr>
        <w:t xml:space="preserve">.  </w:t>
      </w:r>
    </w:p>
    <w:p w14:paraId="56E5695A" w14:textId="16B12624" w:rsidR="483C7E65" w:rsidRDefault="483C7E65" w:rsidP="71D30AF0">
      <w:pPr>
        <w:pStyle w:val="Paragraphedeliste"/>
        <w:numPr>
          <w:ilvl w:val="0"/>
          <w:numId w:val="3"/>
        </w:numPr>
        <w:spacing w:before="240" w:after="400"/>
        <w:jc w:val="both"/>
        <w:rPr>
          <w:rFonts w:eastAsia="Lora" w:cs="Lora"/>
          <w:color w:val="003A60"/>
          <w:szCs w:val="20"/>
        </w:rPr>
      </w:pPr>
      <w:r w:rsidRPr="71D30AF0">
        <w:rPr>
          <w:rFonts w:eastAsia="Lora" w:cs="Lora"/>
          <w:color w:val="003A60"/>
          <w:szCs w:val="20"/>
        </w:rPr>
        <w:t>Les temps de trajet du domicile au lieu habituel de travail. </w:t>
      </w:r>
    </w:p>
    <w:p w14:paraId="5B413AB7" w14:textId="64A5FE35" w:rsidR="483C7E65" w:rsidRDefault="483C7E65" w:rsidP="71D30AF0">
      <w:pPr>
        <w:pStyle w:val="Titre2"/>
        <w:rPr>
          <w:rFonts w:ascii="Rockwell" w:eastAsia="Rockwell" w:hAnsi="Rockwell" w:cs="Rockwell"/>
          <w:bCs/>
          <w:color w:val="287FA5"/>
          <w:szCs w:val="28"/>
        </w:rPr>
      </w:pPr>
      <w:bookmarkStart w:id="12" w:name="_Toc808145672"/>
      <w:bookmarkStart w:id="13" w:name="_Toc223443529"/>
      <w:r w:rsidRPr="71D30AF0">
        <w:t>Horaire de travail</w:t>
      </w:r>
      <w:bookmarkEnd w:id="12"/>
      <w:bookmarkEnd w:id="13"/>
      <w:r w:rsidRPr="71D30AF0">
        <w:t xml:space="preserve">  </w:t>
      </w:r>
    </w:p>
    <w:p w14:paraId="1A4A44B8" w14:textId="01A89131" w:rsidR="483C7E65" w:rsidRDefault="483C7E65" w:rsidP="71D30AF0">
      <w:pPr>
        <w:jc w:val="both"/>
        <w:rPr>
          <w:rFonts w:eastAsia="Lora" w:cs="Lora"/>
          <w:color w:val="000000" w:themeColor="text1"/>
          <w:szCs w:val="20"/>
        </w:rPr>
      </w:pPr>
      <w:r w:rsidRPr="71D30AF0">
        <w:rPr>
          <w:rFonts w:eastAsia="Lora" w:cs="Lora"/>
          <w:color w:val="000000" w:themeColor="text1"/>
          <w:szCs w:val="20"/>
        </w:rPr>
        <w:t>La semaine normale de travail est fixée à 35 heures et se situe généralement entre 9 h et 17 h du lundi au vendredi. Selon le poste occupé, les besoins de l’organisation et les préférences personnelles, il est toutefois possible que l’horaire de travail d’une personne employée diffère de la semaine dite normale et qu’elle travaille le soir ou la fin de semaine. Les personnes employées qui le souhaitent peuvent opter pour une semaine de travail condensée (35h en 4 jours par exemple, pour permettre un congé le lundi ou le vendredi).</w:t>
      </w:r>
    </w:p>
    <w:p w14:paraId="2773AA31" w14:textId="5E76D782" w:rsidR="71D30AF0" w:rsidRDefault="71D30AF0" w:rsidP="71D30AF0">
      <w:pPr>
        <w:jc w:val="both"/>
        <w:rPr>
          <w:rFonts w:eastAsia="Lora" w:cs="Lora"/>
          <w:color w:val="000000" w:themeColor="text1"/>
          <w:szCs w:val="20"/>
        </w:rPr>
      </w:pPr>
    </w:p>
    <w:p w14:paraId="2F6327E4" w14:textId="05B7C83F" w:rsidR="483C7E65" w:rsidRDefault="483C7E65" w:rsidP="71D30AF0">
      <w:pPr>
        <w:jc w:val="both"/>
        <w:rPr>
          <w:rFonts w:eastAsia="Lora" w:cs="Lora"/>
          <w:color w:val="000000" w:themeColor="text1"/>
          <w:szCs w:val="20"/>
        </w:rPr>
      </w:pPr>
      <w:r w:rsidRPr="71D30AF0">
        <w:rPr>
          <w:rFonts w:eastAsia="Lora" w:cs="Lora"/>
          <w:color w:val="000000" w:themeColor="text1"/>
          <w:szCs w:val="20"/>
        </w:rPr>
        <w:t>Pour faciliter la conciliation travail et vie personnelle, familiale et citoyenne, il est possible de choisir son horaire de travail s’il correspond également aux besoins de l’organisation, dans ce cas, une entente avec la direction doit être préalablement établie.</w:t>
      </w:r>
    </w:p>
    <w:p w14:paraId="726479F8" w14:textId="5F5DE5C4" w:rsidR="71D30AF0" w:rsidRDefault="71D30AF0" w:rsidP="71D30AF0">
      <w:pPr>
        <w:jc w:val="both"/>
        <w:rPr>
          <w:rFonts w:eastAsia="Lora" w:cs="Lora"/>
          <w:color w:val="000000" w:themeColor="text1"/>
          <w:szCs w:val="20"/>
        </w:rPr>
      </w:pPr>
    </w:p>
    <w:p w14:paraId="5A35D247" w14:textId="2EC05C9C" w:rsidR="483C7E65" w:rsidRDefault="483C7E65" w:rsidP="71D30AF0">
      <w:pPr>
        <w:jc w:val="both"/>
        <w:rPr>
          <w:rFonts w:eastAsia="Lora" w:cs="Lora"/>
          <w:color w:val="000000" w:themeColor="text1"/>
          <w:szCs w:val="20"/>
        </w:rPr>
      </w:pPr>
      <w:r w:rsidRPr="71D30AF0">
        <w:rPr>
          <w:rFonts w:eastAsia="Lora" w:cs="Lora"/>
          <w:color w:val="000000" w:themeColor="text1"/>
          <w:szCs w:val="20"/>
        </w:rPr>
        <w:lastRenderedPageBreak/>
        <w:t>Afin de recevoir leur rémunération, les personnes employées doivent rendre compte du temps travaillé en complétant l’outil fourni par la fondation, à savoir la plateforme électronique prévue à cet effet.</w:t>
      </w:r>
    </w:p>
    <w:p w14:paraId="6E5DF00E" w14:textId="02A762F2" w:rsidR="483C7E65" w:rsidRDefault="483C7E65" w:rsidP="71D30AF0">
      <w:pPr>
        <w:pStyle w:val="Titre2"/>
        <w:rPr>
          <w:rFonts w:ascii="Rockwell" w:eastAsia="Rockwell" w:hAnsi="Rockwell" w:cs="Rockwell"/>
          <w:bCs/>
          <w:color w:val="287FA5"/>
          <w:szCs w:val="28"/>
        </w:rPr>
      </w:pPr>
      <w:bookmarkStart w:id="14" w:name="_Toc1006220827"/>
      <w:bookmarkStart w:id="15" w:name="_Toc223443530"/>
      <w:r w:rsidRPr="71D30AF0">
        <w:t>Télétravail</w:t>
      </w:r>
      <w:bookmarkEnd w:id="14"/>
      <w:bookmarkEnd w:id="15"/>
      <w:r w:rsidRPr="71D30AF0">
        <w:t xml:space="preserve"> </w:t>
      </w:r>
    </w:p>
    <w:p w14:paraId="172CBD8B" w14:textId="59A23B1E" w:rsidR="483C7E65" w:rsidRDefault="483C7E65" w:rsidP="71D30AF0">
      <w:pPr>
        <w:jc w:val="both"/>
        <w:rPr>
          <w:rFonts w:ascii="Calibri" w:eastAsia="Calibri" w:hAnsi="Calibri" w:cs="Calibri"/>
          <w:color w:val="000000" w:themeColor="text1"/>
          <w:szCs w:val="20"/>
        </w:rPr>
      </w:pPr>
      <w:r w:rsidRPr="71D30AF0">
        <w:t>Le cadre de travail à la Fondation valorise la flexibilité et l'autonomie, tout en reconnaissant l'importance de maintenir une cohésion d'équipe solide. C'est pourquoi les modalités concernant le télétravail sont conçues pour être aussi souples que possible, et sont</w:t>
      </w:r>
      <w:r w:rsidR="3BEB0660" w:rsidRPr="71D30AF0">
        <w:t xml:space="preserve"> réunies dans</w:t>
      </w:r>
      <w:r w:rsidRPr="71D30AF0">
        <w:t xml:space="preserve"> la politique de télétravail, annexe de la présente politique. </w:t>
      </w:r>
    </w:p>
    <w:p w14:paraId="6BAE8F08" w14:textId="17F1153D" w:rsidR="71D30AF0" w:rsidRDefault="71D30AF0" w:rsidP="71D30AF0">
      <w:pPr>
        <w:jc w:val="both"/>
      </w:pPr>
    </w:p>
    <w:p w14:paraId="4DBC13A9" w14:textId="405E3301" w:rsidR="483C7E65" w:rsidRDefault="483C7E65" w:rsidP="71D30AF0">
      <w:pPr>
        <w:jc w:val="both"/>
        <w:rPr>
          <w:rFonts w:ascii="Calibri" w:eastAsia="Calibri" w:hAnsi="Calibri" w:cs="Calibri"/>
          <w:color w:val="000000" w:themeColor="text1"/>
          <w:szCs w:val="20"/>
        </w:rPr>
      </w:pPr>
      <w:r w:rsidRPr="71D30AF0">
        <w:t>Au lieu de prescrire des jours spécifiques pour le télétravail ou la présence en bureau, nous faisons confiance à l'équipe pour s'organiser de manière à se croiser suffisamment pour assurer une dynamique d'équipe saine. Ceci peut inclure des moments physiquement présents au bureau, des réunions virtuelles régulières ou d'autres modalités collaboratives.</w:t>
      </w:r>
      <w:r w:rsidR="4AAF28F5" w:rsidRPr="71D30AF0">
        <w:t xml:space="preserve"> </w:t>
      </w:r>
      <w:r w:rsidRPr="71D30AF0">
        <w:t>Les bureaux, partagés avec un partenaire, demeurent accessibles tout au long de la semaine pour celles et ceux qui préfèrent ou ont besoin de travailler sur place, et selon les modalités entendues avec le partenaire. Nous encourageons un dialogue ouvert entre les personnes de l'équipe et la direction pour s'assurer que ce modèle de flexibilité sert bien à la fois</w:t>
      </w:r>
      <w:r w:rsidR="00137B15" w:rsidRPr="71D30AF0">
        <w:t xml:space="preserve"> les </w:t>
      </w:r>
      <w:r w:rsidRPr="71D30AF0">
        <w:t>objectifs de la Fondation et le bien-être des personnes employées.</w:t>
      </w:r>
    </w:p>
    <w:p w14:paraId="7F121200" w14:textId="53CDC1A3" w:rsidR="71D30AF0" w:rsidRDefault="71D30AF0" w:rsidP="71D30AF0">
      <w:pPr>
        <w:jc w:val="both"/>
      </w:pPr>
    </w:p>
    <w:p w14:paraId="54DBCBE8" w14:textId="0B63EEF0" w:rsidR="483C7E65" w:rsidRDefault="483C7E65" w:rsidP="71D30AF0">
      <w:pPr>
        <w:jc w:val="both"/>
        <w:rPr>
          <w:rFonts w:ascii="Calibri" w:eastAsia="Calibri" w:hAnsi="Calibri" w:cs="Calibri"/>
          <w:color w:val="000000" w:themeColor="text1"/>
          <w:szCs w:val="20"/>
        </w:rPr>
      </w:pPr>
      <w:r w:rsidRPr="71D30AF0">
        <w:t>Dans la mesure où un espace de travail au bureau est offert en tout temps, les coûts relatifs au télétravail (électricité, internet, etc.) ne sont pas pris en charge par la</w:t>
      </w:r>
      <w:r w:rsidR="6D691BFE" w:rsidRPr="71D30AF0">
        <w:t xml:space="preserve"> Fondation. Néanmoins, une portion</w:t>
      </w:r>
      <w:r w:rsidRPr="71D30AF0">
        <w:t xml:space="preserve"> de ces coûts sera compensée uniquement dans un contexte où une application systématique de télétravail est jugée nécessaire.</w:t>
      </w:r>
    </w:p>
    <w:p w14:paraId="079D188B" w14:textId="7D739D4B" w:rsidR="483C7E65" w:rsidRDefault="483C7E65" w:rsidP="71D30AF0">
      <w:pPr>
        <w:pStyle w:val="Titre2"/>
        <w:rPr>
          <w:rFonts w:ascii="Rockwell" w:eastAsia="Rockwell" w:hAnsi="Rockwell" w:cs="Rockwell"/>
          <w:bCs/>
          <w:color w:val="287FA5"/>
          <w:szCs w:val="28"/>
        </w:rPr>
      </w:pPr>
      <w:bookmarkStart w:id="16" w:name="_Toc889746313"/>
      <w:bookmarkStart w:id="17" w:name="_Toc223443531"/>
      <w:r w:rsidRPr="71D30AF0">
        <w:t>Événements</w:t>
      </w:r>
      <w:bookmarkEnd w:id="16"/>
      <w:bookmarkEnd w:id="17"/>
      <w:r w:rsidRPr="71D30AF0">
        <w:t xml:space="preserve"> </w:t>
      </w:r>
    </w:p>
    <w:p w14:paraId="52B01B50" w14:textId="55CF5C47"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Il peut arriver que les personnes employées soient sollicitées en dehors des heures de travail habituelles lors d’événements internes (par exemple; lac-à-l’épaule, rencontres de comité, AGA) ou externes (représentation, participation à un panel, réseautage, etc.). Voir la section « Temps supplémentaires »   </w:t>
      </w:r>
    </w:p>
    <w:p w14:paraId="67E56B30" w14:textId="58672265" w:rsidR="483C7E65" w:rsidRDefault="483C7E65" w:rsidP="71D30AF0">
      <w:pPr>
        <w:pStyle w:val="Titre2"/>
        <w:rPr>
          <w:rFonts w:ascii="Rockwell" w:eastAsia="Rockwell" w:hAnsi="Rockwell" w:cs="Rockwell"/>
          <w:bCs/>
          <w:color w:val="287FA5"/>
          <w:szCs w:val="28"/>
        </w:rPr>
      </w:pPr>
      <w:bookmarkStart w:id="18" w:name="_Toc1989402523"/>
      <w:bookmarkStart w:id="19" w:name="_Toc223443532"/>
      <w:r w:rsidRPr="71D30AF0">
        <w:t>Déconnexion et hyperconnectivité</w:t>
      </w:r>
      <w:bookmarkEnd w:id="18"/>
      <w:bookmarkEnd w:id="19"/>
    </w:p>
    <w:p w14:paraId="77D6DC9F" w14:textId="1E0276A9"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La Fondation prône le droit à la déconnexion, c’est-à-dire le droit d’une personne employée de ne pas répondre à des messages et des communications de son employeur hors de ses heures de travail sauf s’il s’agit d’une urgence ou d’un accord particulier. Le droit à la déconnexion vise à : </w:t>
      </w:r>
    </w:p>
    <w:p w14:paraId="6A4A001D" w14:textId="2AB78C43" w:rsidR="483C7E65" w:rsidRDefault="483C7E65" w:rsidP="71D30AF0">
      <w:pPr>
        <w:pStyle w:val="Paragraphedeliste"/>
        <w:numPr>
          <w:ilvl w:val="0"/>
          <w:numId w:val="32"/>
        </w:numPr>
        <w:spacing w:before="240" w:after="400"/>
        <w:jc w:val="both"/>
        <w:rPr>
          <w:rFonts w:eastAsia="Lora" w:cs="Lora"/>
          <w:color w:val="31595C" w:themeColor="accent1"/>
          <w:szCs w:val="20"/>
        </w:rPr>
      </w:pPr>
      <w:r w:rsidRPr="71D30AF0">
        <w:rPr>
          <w:rFonts w:eastAsia="Lora" w:cs="Lora"/>
          <w:color w:val="31595C" w:themeColor="accent1"/>
          <w:szCs w:val="20"/>
        </w:rPr>
        <w:t xml:space="preserve">Assurer le respect des temps de repos et de congés </w:t>
      </w:r>
    </w:p>
    <w:p w14:paraId="16827E7F" w14:textId="134CA941" w:rsidR="483C7E65" w:rsidRDefault="483C7E65" w:rsidP="71D30AF0">
      <w:pPr>
        <w:pStyle w:val="Paragraphedeliste"/>
        <w:numPr>
          <w:ilvl w:val="0"/>
          <w:numId w:val="32"/>
        </w:numPr>
        <w:spacing w:before="240" w:after="400"/>
        <w:jc w:val="both"/>
        <w:rPr>
          <w:rFonts w:eastAsia="Lora" w:cs="Lora"/>
          <w:color w:val="31595C" w:themeColor="accent1"/>
          <w:szCs w:val="20"/>
        </w:rPr>
      </w:pPr>
      <w:r w:rsidRPr="71D30AF0">
        <w:rPr>
          <w:rFonts w:eastAsia="Lora" w:cs="Lora"/>
          <w:color w:val="31595C" w:themeColor="accent1"/>
          <w:szCs w:val="20"/>
        </w:rPr>
        <w:t>Garantir l’équilibre entre vie professionnelle et vie personnelle/familiale</w:t>
      </w:r>
    </w:p>
    <w:p w14:paraId="304AFA82" w14:textId="3E15FF6C" w:rsidR="483C7E65" w:rsidRDefault="483C7E65" w:rsidP="71D30AF0">
      <w:pPr>
        <w:pStyle w:val="Paragraphedeliste"/>
        <w:numPr>
          <w:ilvl w:val="0"/>
          <w:numId w:val="32"/>
        </w:numPr>
        <w:spacing w:before="240" w:after="400"/>
        <w:jc w:val="both"/>
        <w:rPr>
          <w:rFonts w:eastAsia="Lora" w:cs="Lora"/>
          <w:color w:val="31595C" w:themeColor="accent1"/>
          <w:szCs w:val="20"/>
        </w:rPr>
      </w:pPr>
      <w:r w:rsidRPr="71D30AF0">
        <w:rPr>
          <w:rFonts w:eastAsia="Lora" w:cs="Lora"/>
          <w:color w:val="31595C" w:themeColor="accent1"/>
          <w:szCs w:val="20"/>
        </w:rPr>
        <w:t>Protéger la santé des personnes employées</w:t>
      </w:r>
    </w:p>
    <w:p w14:paraId="7C0437E7" w14:textId="3DAEF781"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Cela signifie, notamment et non exclusivement, qu’en dehors de ses heures de travail, la personne employée n’est pas tenue d’être joignable en permanence par la Fondation ou ses membres pour des motifs liés à l’exécution de son travail et donc qu’en dehors de ses heures de travail, elle n’est pas tenue de lire ses courriels ou de prendre les appels liés au travail, ni d’y répondre. </w:t>
      </w:r>
    </w:p>
    <w:p w14:paraId="0EC50F7F" w14:textId="55D5D2FE" w:rsidR="483C7E65" w:rsidRDefault="483C7E65" w:rsidP="71D30AF0">
      <w:pPr>
        <w:pStyle w:val="Titre2"/>
        <w:rPr>
          <w:rFonts w:ascii="Rockwell" w:eastAsia="Rockwell" w:hAnsi="Rockwell" w:cs="Rockwell"/>
          <w:bCs/>
          <w:color w:val="287FA5"/>
          <w:szCs w:val="28"/>
        </w:rPr>
      </w:pPr>
      <w:bookmarkStart w:id="20" w:name="_Toc1733781149"/>
      <w:bookmarkStart w:id="21" w:name="_Toc223443533"/>
      <w:r w:rsidRPr="71D30AF0">
        <w:lastRenderedPageBreak/>
        <w:t>Temps supplémentaire</w:t>
      </w:r>
      <w:bookmarkEnd w:id="20"/>
      <w:bookmarkEnd w:id="21"/>
      <w:r w:rsidRPr="71D30AF0">
        <w:t> </w:t>
      </w:r>
    </w:p>
    <w:p w14:paraId="20A6CFD2" w14:textId="351B1185" w:rsidR="483C7E65" w:rsidRDefault="483C7E65" w:rsidP="71D30AF0">
      <w:pPr>
        <w:jc w:val="both"/>
        <w:rPr>
          <w:rFonts w:eastAsia="Lora" w:cs="Lora"/>
          <w:color w:val="000000" w:themeColor="text1"/>
          <w:szCs w:val="20"/>
        </w:rPr>
      </w:pPr>
      <w:r w:rsidRPr="71D30AF0">
        <w:rPr>
          <w:rFonts w:eastAsia="Lora" w:cs="Lora"/>
          <w:color w:val="000000" w:themeColor="text1"/>
          <w:szCs w:val="20"/>
        </w:rPr>
        <w:t>Tout temps de travail effectué en sus de l’horaire hebdomadaire régulier de travail sera considéré comme du temps supplémentaire. </w:t>
      </w:r>
    </w:p>
    <w:p w14:paraId="01623977" w14:textId="1511459C" w:rsidR="71D30AF0" w:rsidRDefault="71D30AF0" w:rsidP="71D30AF0">
      <w:pPr>
        <w:jc w:val="both"/>
        <w:rPr>
          <w:rFonts w:eastAsia="Lora" w:cs="Lora"/>
          <w:color w:val="000000" w:themeColor="text1"/>
          <w:szCs w:val="20"/>
        </w:rPr>
      </w:pPr>
    </w:p>
    <w:p w14:paraId="35FCBFB3" w14:textId="22FC4EE2"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Il sera repris en temps dans un rapport 1 pour 1 pour tout temps supplémentaire effectué en plus des 35 heures et en deçà de 40 heures/semaine; ce temps est non-monnayable.  </w:t>
      </w:r>
    </w:p>
    <w:p w14:paraId="058557A6" w14:textId="25E121F5" w:rsidR="483C7E65" w:rsidRDefault="483C7E65" w:rsidP="71D30AF0">
      <w:pPr>
        <w:jc w:val="both"/>
        <w:rPr>
          <w:rFonts w:eastAsia="Lora" w:cs="Lora"/>
          <w:color w:val="000000" w:themeColor="text1"/>
          <w:szCs w:val="20"/>
        </w:rPr>
      </w:pPr>
      <w:r w:rsidRPr="71D30AF0">
        <w:rPr>
          <w:rFonts w:eastAsia="Lora" w:cs="Lora"/>
          <w:color w:val="000000" w:themeColor="text1"/>
          <w:szCs w:val="20"/>
        </w:rPr>
        <w:t>Comme prévu par la loi, il sera repris en temps dans un rapport de 1.5 pour 1 pour tout temps supplémentaire effectué au-delà de 40 heures/semaine. </w:t>
      </w:r>
    </w:p>
    <w:p w14:paraId="1183F12E" w14:textId="61FDB09F" w:rsidR="71D30AF0" w:rsidRDefault="71D30AF0" w:rsidP="71D30AF0">
      <w:pPr>
        <w:jc w:val="both"/>
        <w:rPr>
          <w:rFonts w:eastAsia="Lora" w:cs="Lora"/>
          <w:color w:val="000000" w:themeColor="text1"/>
          <w:szCs w:val="20"/>
        </w:rPr>
      </w:pPr>
    </w:p>
    <w:p w14:paraId="52A63E03" w14:textId="48908F8A"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Toutefois, la Fondation souhaite veiller à favoriser des conditions qui évitent le temps supplémentaire au-delà de 40 heures par semaine, le temps supplémentaire étant considéré comme une mesure exceptionnelle. </w:t>
      </w:r>
    </w:p>
    <w:p w14:paraId="152E1144" w14:textId="2E3032EA" w:rsidR="71D30AF0" w:rsidRDefault="71D30AF0" w:rsidP="71D30AF0">
      <w:pPr>
        <w:jc w:val="both"/>
        <w:rPr>
          <w:rFonts w:eastAsia="Lora" w:cs="Lora"/>
          <w:color w:val="000000" w:themeColor="text1"/>
          <w:szCs w:val="20"/>
        </w:rPr>
      </w:pPr>
    </w:p>
    <w:p w14:paraId="34F00879" w14:textId="1AB7722B"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La personne employée peut accumuler du temps supplémentaire jusqu’à concurrence de </w:t>
      </w:r>
      <w:r w:rsidRPr="71D30AF0">
        <w:rPr>
          <w:rFonts w:eastAsia="Lora" w:cs="Lora"/>
          <w:b/>
          <w:bCs/>
          <w:color w:val="000000" w:themeColor="text1"/>
          <w:szCs w:val="20"/>
        </w:rPr>
        <w:t>35 heures</w:t>
      </w:r>
      <w:r w:rsidRPr="71D30AF0">
        <w:rPr>
          <w:rFonts w:eastAsia="Lora" w:cs="Lora"/>
          <w:color w:val="000000" w:themeColor="text1"/>
          <w:szCs w:val="20"/>
        </w:rPr>
        <w:t>, sans approbation préalable, afin de mieux accommoder les réalités variables des charges de travail. Toute heure supplémentaire au-delà de cette limite doit être approuvée par la direction générale.</w:t>
      </w:r>
    </w:p>
    <w:p w14:paraId="64E27E11" w14:textId="04BDC89E" w:rsidR="71D30AF0" w:rsidRDefault="71D30AF0" w:rsidP="71D30AF0">
      <w:pPr>
        <w:jc w:val="both"/>
        <w:rPr>
          <w:rFonts w:eastAsia="Lora" w:cs="Lora"/>
          <w:color w:val="000000" w:themeColor="text1"/>
          <w:szCs w:val="20"/>
        </w:rPr>
      </w:pPr>
    </w:p>
    <w:p w14:paraId="2221EFF8" w14:textId="1199F551" w:rsidR="483C7E65" w:rsidRDefault="483C7E65" w:rsidP="71D30AF0">
      <w:pPr>
        <w:jc w:val="both"/>
        <w:rPr>
          <w:rFonts w:eastAsia="Lora" w:cs="Lora"/>
          <w:color w:val="000000" w:themeColor="text1"/>
          <w:szCs w:val="20"/>
        </w:rPr>
      </w:pPr>
      <w:r w:rsidRPr="71D30AF0">
        <w:rPr>
          <w:rFonts w:eastAsia="Lora" w:cs="Lora"/>
          <w:color w:val="000000" w:themeColor="text1"/>
          <w:szCs w:val="20"/>
        </w:rPr>
        <w:t>Considérant que la reprise d’heures accumulées doit respecter les besoins de la Fondation et ne doit pas nuire au bon fonctionnement de l’équipe et de l’organisation, la personne employée est tenue d’obtenir l’accord de la direction pour une reprise de temps.  </w:t>
      </w:r>
    </w:p>
    <w:p w14:paraId="57AA713B" w14:textId="675FF6AD" w:rsidR="483C7E65" w:rsidRDefault="483C7E65" w:rsidP="71D30AF0">
      <w:pPr>
        <w:pStyle w:val="Titre2"/>
        <w:rPr>
          <w:rFonts w:ascii="Rockwell" w:eastAsia="Rockwell" w:hAnsi="Rockwell" w:cs="Rockwell"/>
          <w:bCs/>
          <w:color w:val="287FA5"/>
          <w:szCs w:val="28"/>
        </w:rPr>
      </w:pPr>
      <w:bookmarkStart w:id="22" w:name="_Toc1995671155"/>
      <w:bookmarkStart w:id="23" w:name="_Toc223443534"/>
      <w:r w:rsidRPr="71D30AF0">
        <w:rPr>
          <w:lang w:val="fr-FR"/>
        </w:rPr>
        <w:t>Temps d’un déplacement exigé par la Fondation</w:t>
      </w:r>
      <w:bookmarkEnd w:id="22"/>
      <w:bookmarkEnd w:id="23"/>
    </w:p>
    <w:p w14:paraId="507F0F54" w14:textId="7A7E855C" w:rsidR="483C7E65" w:rsidRDefault="483C7E65" w:rsidP="71D30AF0">
      <w:pPr>
        <w:jc w:val="both"/>
        <w:rPr>
          <w:rFonts w:ascii="Calibri" w:eastAsia="Calibri" w:hAnsi="Calibri" w:cs="Calibri"/>
          <w:color w:val="000000" w:themeColor="text1"/>
          <w:szCs w:val="20"/>
        </w:rPr>
      </w:pPr>
      <w:r w:rsidRPr="71D30AF0">
        <w:rPr>
          <w:lang w:val="fr-FR"/>
        </w:rPr>
        <w:t>Le temps de déplacement extérieur (tout déplacement hors de celui normalement nécessaire pour se rendre au bureau) fait à la demande de la Fondation est considéré être du temps consacré au travail et donne droit à un salaire. </w:t>
      </w:r>
      <w:r w:rsidRPr="71D30AF0">
        <w:t> </w:t>
      </w:r>
    </w:p>
    <w:p w14:paraId="0A0B3931" w14:textId="130B297C" w:rsidR="71D30AF0" w:rsidRDefault="71D30AF0" w:rsidP="71D30AF0">
      <w:pPr>
        <w:jc w:val="both"/>
      </w:pPr>
    </w:p>
    <w:p w14:paraId="4FF9E8EA" w14:textId="771EEEBD" w:rsidR="483C7E65" w:rsidRDefault="483C7E65" w:rsidP="71D30AF0">
      <w:pPr>
        <w:jc w:val="both"/>
        <w:rPr>
          <w:rFonts w:ascii="Calibri" w:eastAsia="Calibri" w:hAnsi="Calibri" w:cs="Calibri"/>
          <w:color w:val="000000" w:themeColor="text1"/>
          <w:szCs w:val="20"/>
        </w:rPr>
      </w:pPr>
      <w:r w:rsidRPr="71D30AF0">
        <w:t xml:space="preserve">Tout déplacement (excluant le trajet du domicile au bureau) devra être calculé à partir de l’adresse du bureau de la fondation, dans le sens de lieu de travail et non du siège social, si les deux diffèrent. </w:t>
      </w:r>
    </w:p>
    <w:p w14:paraId="45368EBF" w14:textId="25FB2756" w:rsidR="639C66EB" w:rsidRDefault="639C66EB" w:rsidP="71D30AF0">
      <w:pPr>
        <w:pStyle w:val="Titre1"/>
      </w:pPr>
      <w:bookmarkStart w:id="24" w:name="_Toc507300965"/>
      <w:bookmarkStart w:id="25" w:name="_Toc223443535"/>
      <w:r w:rsidRPr="71D30AF0">
        <w:t xml:space="preserve">6| </w:t>
      </w:r>
      <w:r w:rsidR="483C7E65" w:rsidRPr="71D30AF0">
        <w:t>Congés</w:t>
      </w:r>
      <w:bookmarkEnd w:id="24"/>
      <w:bookmarkEnd w:id="25"/>
      <w:r w:rsidR="483C7E65" w:rsidRPr="71D30AF0">
        <w:t xml:space="preserve"> </w:t>
      </w:r>
    </w:p>
    <w:p w14:paraId="5E5D4C71" w14:textId="28C6883F" w:rsidR="483C7E65" w:rsidRDefault="483C7E65" w:rsidP="71D30AF0">
      <w:pPr>
        <w:pStyle w:val="Titre2"/>
        <w:rPr>
          <w:rFonts w:ascii="Rockwell" w:eastAsia="Rockwell" w:hAnsi="Rockwell" w:cs="Rockwell"/>
          <w:bCs/>
          <w:color w:val="287FA5"/>
          <w:szCs w:val="28"/>
        </w:rPr>
      </w:pPr>
      <w:bookmarkStart w:id="26" w:name="_Toc60174154"/>
      <w:bookmarkStart w:id="27" w:name="_Toc223443536"/>
      <w:r w:rsidRPr="71D30AF0">
        <w:t>Congés annuels</w:t>
      </w:r>
      <w:bookmarkEnd w:id="26"/>
      <w:bookmarkEnd w:id="27"/>
      <w:r w:rsidRPr="71D30AF0">
        <w:t> </w:t>
      </w:r>
    </w:p>
    <w:p w14:paraId="4F4F0701" w14:textId="34EBA029" w:rsidR="483C7E65" w:rsidRDefault="483C7E65" w:rsidP="71D30AF0">
      <w:pPr>
        <w:jc w:val="both"/>
        <w:rPr>
          <w:rFonts w:ascii="Calibri" w:eastAsia="Calibri" w:hAnsi="Calibri" w:cs="Calibri"/>
          <w:color w:val="000000" w:themeColor="text1"/>
          <w:szCs w:val="20"/>
        </w:rPr>
      </w:pPr>
      <w:r w:rsidRPr="71D30AF0">
        <w:t>Les personnes employées bénéficient de quatre (4) semaines de vacances (8 %) après avoir terminé une année de référence.  Si la personne employée n’a pas complété l’année de référence, elle bénéficie du 8% au prorata du temps de travail cumulé.</w:t>
      </w:r>
    </w:p>
    <w:p w14:paraId="1E31B466" w14:textId="6F48AF4C" w:rsidR="71D30AF0" w:rsidRDefault="71D30AF0" w:rsidP="71D30AF0">
      <w:pPr>
        <w:jc w:val="both"/>
      </w:pPr>
    </w:p>
    <w:p w14:paraId="3FF799EF" w14:textId="7031F793" w:rsidR="483C7E65" w:rsidRDefault="483C7E65" w:rsidP="71D30AF0">
      <w:pPr>
        <w:jc w:val="both"/>
        <w:rPr>
          <w:rFonts w:ascii="Calibri" w:eastAsia="Calibri" w:hAnsi="Calibri" w:cs="Calibri"/>
          <w:color w:val="000000" w:themeColor="text1"/>
          <w:szCs w:val="20"/>
        </w:rPr>
      </w:pPr>
      <w:r w:rsidRPr="71D30AF0">
        <w:t>Après cinq (5) années complétées, les personnes employées bénéficient d’une semaine de vacances supplémentaire et donc, de cinq (5) semaines de vacances (10%).</w:t>
      </w:r>
      <w:r w:rsidR="3216069B" w:rsidRPr="71D30AF0">
        <w:t xml:space="preserve"> </w:t>
      </w:r>
      <w:r w:rsidRPr="71D30AF0">
        <w:t>Après dix (10) années complétées, les personnes employées bénéficient d’une semaine de vacances supplémentaire et donc, de six (6) semaines de vacances (12%).</w:t>
      </w:r>
    </w:p>
    <w:p w14:paraId="68313A3E" w14:textId="7A89DB11" w:rsidR="71D30AF0" w:rsidRDefault="71D30AF0" w:rsidP="71D30AF0">
      <w:pPr>
        <w:jc w:val="both"/>
      </w:pPr>
    </w:p>
    <w:p w14:paraId="5301E870" w14:textId="7DBBB0BD" w:rsidR="483C7E65" w:rsidRDefault="483C7E65" w:rsidP="71D30AF0">
      <w:pPr>
        <w:jc w:val="both"/>
        <w:rPr>
          <w:rFonts w:ascii="Calibri" w:eastAsia="Calibri" w:hAnsi="Calibri" w:cs="Calibri"/>
          <w:color w:val="000000" w:themeColor="text1"/>
          <w:szCs w:val="20"/>
        </w:rPr>
      </w:pPr>
      <w:r w:rsidRPr="71D30AF0">
        <w:lastRenderedPageBreak/>
        <w:t>Les congés annuels ne sont pas monnayables et ils doivent être pris au cours de l’année suivant l’année de référence au cours de laquelle ils ont été accumulés. </w:t>
      </w:r>
      <w:r w:rsidR="4938E8D4" w:rsidRPr="71D30AF0">
        <w:t xml:space="preserve"> </w:t>
      </w:r>
      <w:r w:rsidRPr="71D30AF0">
        <w:t xml:space="preserve">Les semaines de vacances peuvent être prises de façon continue ou fractionnée par semaine en accord avec la direction. </w:t>
      </w:r>
    </w:p>
    <w:p w14:paraId="76098C84" w14:textId="0A350713" w:rsidR="483C7E65" w:rsidRDefault="483C7E65" w:rsidP="71D30AF0">
      <w:pPr>
        <w:pStyle w:val="Titre2"/>
        <w:rPr>
          <w:rFonts w:ascii="Rockwell" w:eastAsia="Rockwell" w:hAnsi="Rockwell" w:cs="Rockwell"/>
          <w:bCs/>
          <w:color w:val="287FA5"/>
          <w:szCs w:val="28"/>
        </w:rPr>
      </w:pPr>
      <w:bookmarkStart w:id="28" w:name="_Toc313821982"/>
      <w:bookmarkStart w:id="29" w:name="_Toc223443537"/>
      <w:r w:rsidRPr="71D30AF0">
        <w:t>Congé des fêtes</w:t>
      </w:r>
      <w:bookmarkEnd w:id="28"/>
      <w:bookmarkEnd w:id="29"/>
    </w:p>
    <w:p w14:paraId="47A93F79" w14:textId="539EF452" w:rsidR="483C7E65" w:rsidRDefault="483C7E65" w:rsidP="71D30AF0">
      <w:pPr>
        <w:jc w:val="both"/>
        <w:rPr>
          <w:rFonts w:ascii="Calibri" w:eastAsia="Calibri" w:hAnsi="Calibri" w:cs="Calibri"/>
          <w:color w:val="000000" w:themeColor="text1"/>
          <w:szCs w:val="20"/>
        </w:rPr>
      </w:pPr>
      <w:r w:rsidRPr="71D30AF0">
        <w:t>Pour la période des fêtes, la Fondation adopte une politique de fermeture annuelle du 24 décembre au 2 janvier inclusivement. La rémunération pour les jours compris dans cette période est assurée pour l'ensemble des personnes employées.</w:t>
      </w:r>
    </w:p>
    <w:p w14:paraId="7D02F621" w14:textId="28720A88" w:rsidR="71D30AF0" w:rsidRDefault="71D30AF0" w:rsidP="71D30AF0">
      <w:pPr>
        <w:jc w:val="both"/>
      </w:pPr>
    </w:p>
    <w:p w14:paraId="0BFE0915" w14:textId="01D40EFE" w:rsidR="483C7E65" w:rsidRDefault="483C7E65" w:rsidP="71D30AF0">
      <w:pPr>
        <w:jc w:val="both"/>
        <w:rPr>
          <w:rFonts w:ascii="Calibri" w:eastAsia="Calibri" w:hAnsi="Calibri" w:cs="Calibri"/>
          <w:color w:val="000000" w:themeColor="text1"/>
          <w:szCs w:val="20"/>
        </w:rPr>
      </w:pPr>
      <w:r w:rsidRPr="71D30AF0">
        <w:t>Si un jour férié devait tomber pendant un week-end durant cette période de fermeture, le droit au report de ce congé férié sera maintenu. L'équipe en place déterminera, en fonction des projets et obligations en cours, si ce report sera effectué avant le 24 décembre ou après le 2 janvier.</w:t>
      </w:r>
    </w:p>
    <w:p w14:paraId="4FD79D3A" w14:textId="5B3CD4F6" w:rsidR="483C7E65" w:rsidRDefault="483C7E65" w:rsidP="71D30AF0">
      <w:pPr>
        <w:pStyle w:val="Titre2"/>
        <w:rPr>
          <w:rFonts w:ascii="Rockwell" w:eastAsia="Rockwell" w:hAnsi="Rockwell" w:cs="Rockwell"/>
          <w:bCs/>
          <w:color w:val="287FA5"/>
          <w:szCs w:val="28"/>
        </w:rPr>
      </w:pPr>
      <w:bookmarkStart w:id="30" w:name="_Toc1775909273"/>
      <w:bookmarkStart w:id="31" w:name="_Toc223443538"/>
      <w:r w:rsidRPr="71D30AF0">
        <w:t>Congé parental et congé de maternité</w:t>
      </w:r>
      <w:bookmarkEnd w:id="30"/>
      <w:bookmarkEnd w:id="31"/>
    </w:p>
    <w:p w14:paraId="03771518" w14:textId="413F5854" w:rsidR="483C7E65" w:rsidRDefault="483C7E65" w:rsidP="71D30AF0">
      <w:pPr>
        <w:jc w:val="both"/>
        <w:rPr>
          <w:rFonts w:ascii="Calibri" w:eastAsia="Calibri" w:hAnsi="Calibri" w:cs="Calibri"/>
          <w:color w:val="000000" w:themeColor="text1"/>
          <w:szCs w:val="20"/>
        </w:rPr>
      </w:pPr>
      <w:r w:rsidRPr="71D30AF0">
        <w:t>Le congé parental et le congé de maternité seront appliqués conformément au Régime québécois d’assurance parentale en vigueur ainsi qu'à la Loi des normes du travail. Les avantages sociaux seront maintenus pendant toute la durée du congé de maternité. Le mode de paiement des assurances collectives sera établi en fonction d'une entente convenue avec la direction générale.</w:t>
      </w:r>
    </w:p>
    <w:p w14:paraId="5C635642" w14:textId="1D9A017E" w:rsidR="71D30AF0" w:rsidRDefault="71D30AF0" w:rsidP="71D30AF0">
      <w:pPr>
        <w:jc w:val="both"/>
      </w:pPr>
    </w:p>
    <w:p w14:paraId="6D8FAB0E" w14:textId="2A3AEB06" w:rsidR="483C7E65" w:rsidRDefault="483C7E65" w:rsidP="71D30AF0">
      <w:pPr>
        <w:jc w:val="both"/>
        <w:rPr>
          <w:rFonts w:ascii="Calibri" w:eastAsia="Calibri" w:hAnsi="Calibri" w:cs="Calibri"/>
          <w:color w:val="000000" w:themeColor="text1"/>
          <w:szCs w:val="20"/>
        </w:rPr>
      </w:pPr>
      <w:r w:rsidRPr="71D30AF0">
        <w:t xml:space="preserve">La Fondation assure une compensation du programme du Régime québécois d’assurance parentale (RQAP). Cette dernière s’élève au montant nécessaire afin d’assurer à la personne employée de maintenir 75% de son salaire annuel habituel brut, et ce, durant le congé de maternité comme le congé parental. </w:t>
      </w:r>
    </w:p>
    <w:p w14:paraId="58898059" w14:textId="34DB8715" w:rsidR="483C7E65" w:rsidRDefault="483C7E65" w:rsidP="71D30AF0">
      <w:pPr>
        <w:pStyle w:val="Titre2"/>
        <w:rPr>
          <w:rFonts w:ascii="Rockwell" w:eastAsia="Rockwell" w:hAnsi="Rockwell" w:cs="Rockwell"/>
          <w:bCs/>
          <w:color w:val="287FA5"/>
          <w:szCs w:val="28"/>
        </w:rPr>
      </w:pPr>
      <w:bookmarkStart w:id="32" w:name="_Toc1273790780"/>
      <w:bookmarkStart w:id="33" w:name="_Toc223443539"/>
      <w:r w:rsidRPr="71D30AF0">
        <w:t>Congés personnels et/ou de maladie</w:t>
      </w:r>
      <w:bookmarkEnd w:id="32"/>
      <w:bookmarkEnd w:id="33"/>
      <w:r w:rsidRPr="71D30AF0">
        <w:t> </w:t>
      </w:r>
    </w:p>
    <w:p w14:paraId="020E48C0" w14:textId="452B762D" w:rsidR="483C7E65" w:rsidRDefault="483C7E65" w:rsidP="71D30AF0">
      <w:pPr>
        <w:jc w:val="both"/>
      </w:pPr>
      <w:r w:rsidRPr="71D30AF0">
        <w:t>En cas d'enjeux de santé ou pour toute autre raison personnelle, les personnes</w:t>
      </w:r>
      <w:r w:rsidR="54DB61AA" w:rsidRPr="71D30AF0">
        <w:t xml:space="preserve"> employées</w:t>
      </w:r>
      <w:r w:rsidRPr="71D30AF0">
        <w:t xml:space="preserve"> régulières ont droit à une banque de 10 jours ouvrables, sans coupure de salaire.</w:t>
      </w:r>
      <w:r w:rsidR="1F58E2E5" w:rsidRPr="71D30AF0">
        <w:t xml:space="preserve"> Les personnes</w:t>
      </w:r>
      <w:r w:rsidRPr="71D30AF0">
        <w:t xml:space="preserve"> employées qui travaillent moins de 35h/semaine auront un nombre de jours au prorata des heures prévues à leur contrat de travail. À la fin de l’année de fiscale, les jours de congés personnels et/ou de maladie qui n’auront pas été utilisés par les personnes employées régulières seront monnayables et versées aux personnes employées, et ce, au prorata des mois travaillés.</w:t>
      </w:r>
    </w:p>
    <w:p w14:paraId="28E3AAAF" w14:textId="6A1F3EA3" w:rsidR="71D30AF0" w:rsidRDefault="71D30AF0" w:rsidP="71D30AF0">
      <w:pPr>
        <w:jc w:val="both"/>
      </w:pPr>
    </w:p>
    <w:p w14:paraId="261D27D3" w14:textId="13BB1513" w:rsidR="483C7E65" w:rsidRDefault="483C7E65" w:rsidP="71D30AF0">
      <w:pPr>
        <w:jc w:val="both"/>
        <w:rPr>
          <w:rFonts w:ascii="Calibri" w:eastAsia="Calibri" w:hAnsi="Calibri" w:cs="Calibri"/>
          <w:color w:val="000000" w:themeColor="text1"/>
          <w:szCs w:val="20"/>
        </w:rPr>
      </w:pPr>
      <w:r w:rsidRPr="71D30AF0">
        <w:t>Le nombre de jours de congés personnels et/ou maladie est un nombre fixe en fonction d’une présence continue au travail. Il sera modifié si la personne employée est absente de la Fondation (congé maladie, congé sans solde, etc.), sous réserve des droits prévus à la Loi sur les normes du travail. </w:t>
      </w:r>
      <w:r w:rsidR="53EE147B" w:rsidRPr="71D30AF0">
        <w:t xml:space="preserve"> </w:t>
      </w:r>
      <w:r w:rsidRPr="71D30AF0">
        <w:t>Le nombre de jours de congés personnels et/ou maladie ne sera pas modifié en cas de temps supplémentaire. En cas d’absence pour raison de maladie, comme pour toute autre raison personnelle, la personne employée doit en aviser la direction à la première occasion.</w:t>
      </w:r>
    </w:p>
    <w:p w14:paraId="75C30946" w14:textId="393D37F8" w:rsidR="71D30AF0" w:rsidRDefault="71D30AF0" w:rsidP="71D30AF0">
      <w:pPr>
        <w:jc w:val="both"/>
      </w:pPr>
    </w:p>
    <w:p w14:paraId="5577D087" w14:textId="5A5FB8EA" w:rsidR="483C7E65" w:rsidRDefault="483C7E65" w:rsidP="71D30AF0">
      <w:pPr>
        <w:jc w:val="both"/>
        <w:rPr>
          <w:rFonts w:ascii="Calibri" w:eastAsia="Calibri" w:hAnsi="Calibri" w:cs="Calibri"/>
          <w:color w:val="000000" w:themeColor="text1"/>
          <w:szCs w:val="20"/>
        </w:rPr>
      </w:pPr>
      <w:r w:rsidRPr="71D30AF0">
        <w:t xml:space="preserve">Afin de protéger les personnes employées régulières dans le cas d’une maladie qui exigerait une absence prolongée, la Fondation Béati s’engage à adhérer au programme PSC1 qui permet aux personnes employées régulières de recevoir une compensation financière dans le cadre du programme d’assurance-emploi pour une période équivalent à la période de carence et aux </w:t>
      </w:r>
      <w:r w:rsidRPr="71D30AF0">
        <w:lastRenderedPageBreak/>
        <w:t>semaines éligibles. Cette compensation pourra s’élever jusqu’à concurrence du montant nécessaire à ce que la personne employée atteigne 75% de son salaire habituel brut.  </w:t>
      </w:r>
    </w:p>
    <w:p w14:paraId="35B73A32" w14:textId="4BBC3545" w:rsidR="483C7E65" w:rsidRDefault="483C7E65" w:rsidP="71D30AF0">
      <w:pPr>
        <w:pStyle w:val="Titre2"/>
        <w:rPr>
          <w:rFonts w:ascii="Rockwell" w:eastAsia="Rockwell" w:hAnsi="Rockwell" w:cs="Rockwell"/>
          <w:bCs/>
          <w:color w:val="287FA5"/>
          <w:szCs w:val="28"/>
        </w:rPr>
      </w:pPr>
      <w:bookmarkStart w:id="34" w:name="_Toc427080536"/>
      <w:bookmarkStart w:id="35" w:name="_Toc223443540"/>
      <w:r w:rsidRPr="71D30AF0">
        <w:t>Congés de solidarité</w:t>
      </w:r>
      <w:bookmarkEnd w:id="34"/>
      <w:bookmarkEnd w:id="35"/>
      <w:r w:rsidRPr="71D30AF0">
        <w:t> </w:t>
      </w:r>
    </w:p>
    <w:p w14:paraId="78FCD709" w14:textId="23EF3313"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La personne employée régulière bénéficie de </w:t>
      </w:r>
      <w:r w:rsidRPr="71D30AF0">
        <w:rPr>
          <w:rFonts w:eastAsia="Lora" w:cs="Lora"/>
          <w:b/>
          <w:bCs/>
          <w:color w:val="000000" w:themeColor="text1"/>
          <w:szCs w:val="20"/>
        </w:rPr>
        <w:t>cinq (5) jours de congés payés</w:t>
      </w:r>
      <w:r w:rsidRPr="71D30AF0">
        <w:rPr>
          <w:rFonts w:eastAsia="Lora" w:cs="Lora"/>
          <w:color w:val="000000" w:themeColor="text1"/>
          <w:szCs w:val="20"/>
        </w:rPr>
        <w:t xml:space="preserve"> afin de soutenir des mesures de solidarité à la fois</w:t>
      </w:r>
    </w:p>
    <w:p w14:paraId="37BEFEA9" w14:textId="7CE72732" w:rsidR="483C7E65" w:rsidRDefault="483C7E65" w:rsidP="71D30AF0">
      <w:pPr>
        <w:pStyle w:val="Paragraphedeliste"/>
        <w:numPr>
          <w:ilvl w:val="0"/>
          <w:numId w:val="30"/>
        </w:numPr>
        <w:spacing w:before="240" w:after="400"/>
        <w:jc w:val="both"/>
        <w:rPr>
          <w:rFonts w:eastAsia="Lora" w:cs="Lora"/>
          <w:color w:val="31595C" w:themeColor="accent1"/>
          <w:szCs w:val="20"/>
        </w:rPr>
      </w:pPr>
      <w:r w:rsidRPr="71D30AF0">
        <w:rPr>
          <w:rFonts w:eastAsia="Lora" w:cs="Lora"/>
          <w:color w:val="31595C" w:themeColor="accent1"/>
          <w:szCs w:val="20"/>
        </w:rPr>
        <w:t xml:space="preserve">Personnelles : prendre soin d’un membre de sa famille, pallier </w:t>
      </w:r>
      <w:proofErr w:type="gramStart"/>
      <w:r w:rsidRPr="71D30AF0">
        <w:rPr>
          <w:rFonts w:eastAsia="Lora" w:cs="Lora"/>
          <w:color w:val="31595C" w:themeColor="accent1"/>
          <w:szCs w:val="20"/>
        </w:rPr>
        <w:t>aux</w:t>
      </w:r>
      <w:proofErr w:type="gramEnd"/>
      <w:r w:rsidRPr="71D30AF0">
        <w:rPr>
          <w:rFonts w:eastAsia="Lora" w:cs="Lora"/>
          <w:color w:val="31595C" w:themeColor="accent1"/>
          <w:szCs w:val="20"/>
        </w:rPr>
        <w:t xml:space="preserve"> urgences parentales (fermeture d’école, grèves, etc.),</w:t>
      </w:r>
    </w:p>
    <w:p w14:paraId="705D9641" w14:textId="465DA52B" w:rsidR="483C7E65" w:rsidRDefault="483C7E65" w:rsidP="71D30AF0">
      <w:pPr>
        <w:pStyle w:val="Paragraphedeliste"/>
        <w:numPr>
          <w:ilvl w:val="0"/>
          <w:numId w:val="30"/>
        </w:numPr>
        <w:spacing w:before="240" w:after="400"/>
        <w:jc w:val="both"/>
        <w:rPr>
          <w:rFonts w:eastAsia="Lora" w:cs="Lora"/>
          <w:color w:val="31595C" w:themeColor="accent1"/>
          <w:szCs w:val="20"/>
        </w:rPr>
      </w:pPr>
      <w:r w:rsidRPr="71D30AF0">
        <w:rPr>
          <w:rFonts w:eastAsia="Lora" w:cs="Lora"/>
          <w:color w:val="31595C" w:themeColor="accent1"/>
          <w:szCs w:val="20"/>
        </w:rPr>
        <w:t xml:space="preserve">Collectives, sociales et politiques : soutenir sa communauté ou une communauté en tant qu’allié, notamment dans le cadre d’un appel élargi à la solidarité. </w:t>
      </w:r>
    </w:p>
    <w:p w14:paraId="5299D86E" w14:textId="31CA3970" w:rsidR="483C7E65" w:rsidRDefault="483C7E65" w:rsidP="71D30AF0">
      <w:pPr>
        <w:jc w:val="both"/>
        <w:rPr>
          <w:rFonts w:eastAsia="Lora" w:cs="Lora"/>
          <w:color w:val="000000" w:themeColor="text1"/>
          <w:szCs w:val="20"/>
        </w:rPr>
      </w:pPr>
      <w:r w:rsidRPr="71D30AF0">
        <w:rPr>
          <w:rFonts w:eastAsia="Lora" w:cs="Lora"/>
          <w:color w:val="000000" w:themeColor="text1"/>
          <w:szCs w:val="20"/>
        </w:rPr>
        <w:t>Cette catégorie de congés vient directement répondre à la volonté de favoriser les relations de soin (</w:t>
      </w:r>
      <w:r w:rsidRPr="71D30AF0">
        <w:rPr>
          <w:rFonts w:eastAsia="Lora" w:cs="Lora"/>
          <w:i/>
          <w:iCs/>
          <w:color w:val="000000" w:themeColor="text1"/>
          <w:szCs w:val="20"/>
        </w:rPr>
        <w:t>care</w:t>
      </w:r>
      <w:r w:rsidRPr="71D30AF0">
        <w:rPr>
          <w:rFonts w:eastAsia="Lora" w:cs="Lora"/>
          <w:color w:val="000000" w:themeColor="text1"/>
          <w:szCs w:val="20"/>
        </w:rPr>
        <w:t>) : prendre soin des autres, tout en gardant les congés personnels pour prendre soin de soi. Elle prend aussi en compte qu’avec une situation climatique se détériorant, les besoins de ce type de congés vont certainement être croissants.</w:t>
      </w:r>
    </w:p>
    <w:p w14:paraId="18C05C25" w14:textId="2A57B5D8" w:rsidR="483C7E65" w:rsidRDefault="483C7E65" w:rsidP="71D30AF0">
      <w:pPr>
        <w:jc w:val="both"/>
        <w:rPr>
          <w:rFonts w:eastAsia="Lora" w:cs="Lora"/>
          <w:color w:val="000000" w:themeColor="text1"/>
          <w:szCs w:val="20"/>
        </w:rPr>
      </w:pPr>
      <w:r w:rsidRPr="71D30AF0">
        <w:rPr>
          <w:rFonts w:eastAsia="Lora" w:cs="Lora"/>
          <w:color w:val="000000" w:themeColor="text1"/>
          <w:szCs w:val="20"/>
        </w:rPr>
        <w:t>Cette banque n’est pas monnayable en fin d’année, néanmoins la Fondation permet aux personnes employées à offrir des congés de solidarité non utilisés à d’autres personnes de l’équipe, favorisant ainsi la relation de soin à l’intérieur de l’équipe.</w:t>
      </w:r>
    </w:p>
    <w:p w14:paraId="5847BB1B" w14:textId="74A1FE47" w:rsidR="483C7E65" w:rsidRDefault="483C7E65" w:rsidP="71D30AF0">
      <w:pPr>
        <w:pStyle w:val="Titre2"/>
        <w:rPr>
          <w:rFonts w:ascii="Rockwell" w:eastAsia="Rockwell" w:hAnsi="Rockwell" w:cs="Rockwell"/>
          <w:bCs/>
          <w:color w:val="287FA5"/>
          <w:szCs w:val="28"/>
        </w:rPr>
      </w:pPr>
      <w:bookmarkStart w:id="36" w:name="_Toc1948608223"/>
      <w:bookmarkStart w:id="37" w:name="_Toc223443541"/>
      <w:r w:rsidRPr="71D30AF0">
        <w:t>Congés sociaux</w:t>
      </w:r>
      <w:bookmarkEnd w:id="36"/>
      <w:bookmarkEnd w:id="37"/>
      <w:r w:rsidRPr="71D30AF0">
        <w:t> </w:t>
      </w:r>
    </w:p>
    <w:p w14:paraId="23D48846" w14:textId="64350BBE" w:rsidR="483C7E65" w:rsidRDefault="483C7E65" w:rsidP="71D30AF0">
      <w:pPr>
        <w:jc w:val="both"/>
        <w:rPr>
          <w:rFonts w:ascii="Calibri" w:eastAsia="Calibri" w:hAnsi="Calibri" w:cs="Calibri"/>
          <w:color w:val="000000" w:themeColor="text1"/>
          <w:szCs w:val="20"/>
        </w:rPr>
      </w:pPr>
      <w:r w:rsidRPr="71D30AF0">
        <w:t xml:space="preserve">Plusieurs congés sociaux sont aussi prévus par la Loi, afin de répondre à des circonstances particulières telles qu’un décès, des funérailles, une naissance ou une adoption, par exemple. </w:t>
      </w:r>
    </w:p>
    <w:p w14:paraId="5AEE5DAE" w14:textId="0AA2E516" w:rsidR="71D30AF0" w:rsidRDefault="71D30AF0" w:rsidP="71D30AF0">
      <w:pPr>
        <w:jc w:val="both"/>
      </w:pPr>
    </w:p>
    <w:p w14:paraId="217C09E3" w14:textId="62C9BAC6" w:rsidR="483C7E65" w:rsidRDefault="483C7E65" w:rsidP="71D30AF0">
      <w:pPr>
        <w:jc w:val="both"/>
        <w:rPr>
          <w:rFonts w:ascii="Calibri" w:eastAsia="Calibri" w:hAnsi="Calibri" w:cs="Calibri"/>
          <w:color w:val="000000" w:themeColor="text1"/>
          <w:szCs w:val="20"/>
        </w:rPr>
      </w:pPr>
      <w:r w:rsidRPr="71D30AF0">
        <w:t>La Fondation reconnait que la loi est limitative, et invite les personnes employées à s’adresser à la direction pour toute situation ou catégorie relationnelle qui n’entrerait pas dans le cadre tel que défini par cette loi.</w:t>
      </w:r>
    </w:p>
    <w:p w14:paraId="51E0F96A" w14:textId="49BCA787" w:rsidR="483C7E65" w:rsidRDefault="483C7E65" w:rsidP="71D30AF0">
      <w:pPr>
        <w:pStyle w:val="Titre2"/>
        <w:rPr>
          <w:rFonts w:ascii="Rockwell" w:eastAsia="Rockwell" w:hAnsi="Rockwell" w:cs="Rockwell"/>
          <w:bCs/>
          <w:color w:val="287FA5"/>
          <w:szCs w:val="28"/>
        </w:rPr>
      </w:pPr>
      <w:bookmarkStart w:id="38" w:name="_Toc1756316536"/>
      <w:bookmarkStart w:id="39" w:name="_Toc223443542"/>
      <w:r w:rsidRPr="71D30AF0">
        <w:t>Congé pour raisons de santé menstruelle et hormonale</w:t>
      </w:r>
      <w:bookmarkEnd w:id="38"/>
      <w:bookmarkEnd w:id="39"/>
    </w:p>
    <w:p w14:paraId="5429719A" w14:textId="5DCFAF5B" w:rsidR="483C7E65" w:rsidRDefault="483C7E65" w:rsidP="71D30AF0">
      <w:pPr>
        <w:jc w:val="both"/>
        <w:rPr>
          <w:rFonts w:ascii="Calibri" w:eastAsia="Calibri" w:hAnsi="Calibri" w:cs="Calibri"/>
          <w:color w:val="000000" w:themeColor="text1"/>
          <w:szCs w:val="20"/>
        </w:rPr>
      </w:pPr>
      <w:r w:rsidRPr="71D30AF0">
        <w:t>Dans le cadre de notre engagement continu envers l'équité, l'inclusion et le bien-être de notre personnel, notre organisation reconnaît la nécessité d'offrir un environnement de travail qui tient compte des divers besoins de santé menstruelle et hormonale. Nous introduisons donc un congé dédié de 21 heures annuellement, visant à soutenir les personnes employées à travers les différentes étapes et défis liés à la santé menstruelle et hormonale.</w:t>
      </w:r>
    </w:p>
    <w:p w14:paraId="317C5770" w14:textId="4DDBFFA3" w:rsidR="483C7E65" w:rsidRDefault="483C7E65" w:rsidP="71D30AF0">
      <w:pPr>
        <w:pStyle w:val="Titre4"/>
        <w:rPr>
          <w:rFonts w:ascii="Rockwell" w:eastAsia="Rockwell" w:hAnsi="Rockwell" w:cs="Rockwell"/>
          <w:b w:val="0"/>
          <w:iCs w:val="0"/>
          <w:color w:val="003A60"/>
          <w:sz w:val="26"/>
          <w:szCs w:val="26"/>
        </w:rPr>
      </w:pPr>
      <w:bookmarkStart w:id="40" w:name="_Toc337241582"/>
      <w:bookmarkStart w:id="41" w:name="_Toc223443543"/>
      <w:r w:rsidRPr="71D30AF0">
        <w:t>1. Admissibilité et modalités</w:t>
      </w:r>
      <w:bookmarkEnd w:id="40"/>
      <w:bookmarkEnd w:id="41"/>
    </w:p>
    <w:p w14:paraId="19AEBA9D" w14:textId="7AE35B99" w:rsidR="483C7E65" w:rsidRDefault="483C7E65" w:rsidP="71D30AF0">
      <w:pPr>
        <w:pStyle w:val="Paragraphedeliste"/>
        <w:numPr>
          <w:ilvl w:val="0"/>
          <w:numId w:val="29"/>
        </w:numPr>
        <w:spacing w:before="240" w:after="400"/>
        <w:jc w:val="both"/>
        <w:rPr>
          <w:rFonts w:eastAsia="Lora" w:cs="Lora"/>
          <w:color w:val="31595C" w:themeColor="accent1"/>
          <w:szCs w:val="20"/>
        </w:rPr>
      </w:pPr>
      <w:r w:rsidRPr="71D30AF0">
        <w:rPr>
          <w:rFonts w:eastAsia="Lora" w:cs="Lora"/>
          <w:color w:val="31595C" w:themeColor="accent1"/>
          <w:szCs w:val="20"/>
        </w:rPr>
        <w:t>Ce congé est accessible à toutes les personnes employées, indépendamment de leur statut, ancienneté ou identité de genre, soulignant notre reconnaissance que les questions de santé menstruelle et hormonale peuvent toucher une variété d'individus.</w:t>
      </w:r>
    </w:p>
    <w:p w14:paraId="61F7BB4F" w14:textId="77FEF6C0" w:rsidR="483C7E65" w:rsidRDefault="483C7E65" w:rsidP="71D30AF0">
      <w:pPr>
        <w:pStyle w:val="Paragraphedeliste"/>
        <w:numPr>
          <w:ilvl w:val="0"/>
          <w:numId w:val="29"/>
        </w:numPr>
        <w:spacing w:before="240" w:after="400"/>
        <w:jc w:val="both"/>
        <w:rPr>
          <w:rFonts w:eastAsia="Lora" w:cs="Lora"/>
          <w:color w:val="31595C" w:themeColor="accent1"/>
          <w:szCs w:val="20"/>
        </w:rPr>
      </w:pPr>
      <w:r w:rsidRPr="71D30AF0">
        <w:rPr>
          <w:rFonts w:eastAsia="Lora" w:cs="Lora"/>
          <w:color w:val="31595C" w:themeColor="accent1"/>
          <w:szCs w:val="20"/>
        </w:rPr>
        <w:t xml:space="preserve">Les 21 heures allouées annuellement peuvent être utilisées en totalité (3 jours) ou fractionnées en heures (7 heures par jour), permettant une flexibilité selon les besoins individuels. Les heures non utilisées ne sont pas monnayables. </w:t>
      </w:r>
    </w:p>
    <w:p w14:paraId="117A3E5F" w14:textId="431A594F" w:rsidR="483C7E65" w:rsidRDefault="483C7E65" w:rsidP="71D30AF0">
      <w:pPr>
        <w:pStyle w:val="Paragraphedeliste"/>
        <w:numPr>
          <w:ilvl w:val="0"/>
          <w:numId w:val="29"/>
        </w:numPr>
        <w:spacing w:before="240" w:after="400"/>
        <w:jc w:val="both"/>
        <w:rPr>
          <w:rFonts w:eastAsia="Lora" w:cs="Lora"/>
          <w:color w:val="31595C" w:themeColor="accent1"/>
          <w:szCs w:val="20"/>
        </w:rPr>
      </w:pPr>
      <w:r w:rsidRPr="71D30AF0">
        <w:rPr>
          <w:rFonts w:eastAsia="Lora" w:cs="Lora"/>
          <w:color w:val="31595C" w:themeColor="accent1"/>
          <w:szCs w:val="20"/>
        </w:rPr>
        <w:t>Nous adoptons une politique de confiance et de respect, ne requérant aucun justificatif médical pour l'utilisation de ce congé. Notre objectif est de favoriser un environnement de travail soutenant et empathique.</w:t>
      </w:r>
    </w:p>
    <w:p w14:paraId="160A0285" w14:textId="7D9301F3" w:rsidR="483C7E65" w:rsidRDefault="483C7E65" w:rsidP="71D30AF0">
      <w:pPr>
        <w:pStyle w:val="Titre4"/>
        <w:rPr>
          <w:rFonts w:ascii="Calibri" w:eastAsia="Calibri" w:hAnsi="Calibri" w:cs="Calibri"/>
          <w:b w:val="0"/>
          <w:iCs w:val="0"/>
          <w:color w:val="000000" w:themeColor="text1"/>
          <w:szCs w:val="20"/>
        </w:rPr>
      </w:pPr>
      <w:bookmarkStart w:id="42" w:name="_Toc17266498"/>
      <w:bookmarkStart w:id="43" w:name="_Toc223443544"/>
      <w:r w:rsidRPr="71D30AF0">
        <w:lastRenderedPageBreak/>
        <w:t>2. Inclusions spécifiques</w:t>
      </w:r>
      <w:bookmarkEnd w:id="42"/>
      <w:bookmarkEnd w:id="43"/>
    </w:p>
    <w:p w14:paraId="00891103" w14:textId="738C46DD" w:rsidR="483C7E65" w:rsidRDefault="483C7E65" w:rsidP="71D30AF0">
      <w:pPr>
        <w:jc w:val="both"/>
        <w:rPr>
          <w:rFonts w:eastAsia="Lora" w:cs="Lora"/>
          <w:color w:val="000000" w:themeColor="text1"/>
          <w:szCs w:val="20"/>
        </w:rPr>
      </w:pPr>
      <w:r w:rsidRPr="71D30AF0">
        <w:rPr>
          <w:rFonts w:eastAsia="Lora" w:cs="Lora"/>
          <w:color w:val="000000" w:themeColor="text1"/>
          <w:szCs w:val="20"/>
        </w:rPr>
        <w:t>Le congé pour raisons de santé menstruelle et hormonale est conçu pour couvrir, mais sans s'y limiter, les situations suivantes :</w:t>
      </w:r>
    </w:p>
    <w:p w14:paraId="418D4CC7" w14:textId="7170E8B3" w:rsidR="483C7E65" w:rsidRDefault="483C7E65" w:rsidP="71D30AF0">
      <w:pPr>
        <w:pStyle w:val="Paragraphedeliste"/>
        <w:numPr>
          <w:ilvl w:val="0"/>
          <w:numId w:val="28"/>
        </w:numPr>
        <w:spacing w:before="240" w:after="400"/>
        <w:jc w:val="both"/>
        <w:rPr>
          <w:rFonts w:eastAsia="Lora" w:cs="Lora"/>
          <w:color w:val="31595C" w:themeColor="accent1"/>
          <w:szCs w:val="20"/>
        </w:rPr>
      </w:pPr>
      <w:r w:rsidRPr="71D30AF0">
        <w:rPr>
          <w:rFonts w:eastAsia="Lora" w:cs="Lora"/>
          <w:color w:val="31595C" w:themeColor="accent1"/>
          <w:szCs w:val="20"/>
        </w:rPr>
        <w:t>Douleurs menstruelles sévères et symptômes associés qui affectent la capacité de travail.</w:t>
      </w:r>
    </w:p>
    <w:p w14:paraId="604AD44A" w14:textId="12242FDB" w:rsidR="483C7E65" w:rsidRDefault="483C7E65" w:rsidP="71D30AF0">
      <w:pPr>
        <w:pStyle w:val="Paragraphedeliste"/>
        <w:numPr>
          <w:ilvl w:val="0"/>
          <w:numId w:val="28"/>
        </w:numPr>
        <w:spacing w:before="240" w:after="400"/>
        <w:jc w:val="both"/>
        <w:rPr>
          <w:rFonts w:eastAsia="Lora" w:cs="Lora"/>
          <w:color w:val="31595C" w:themeColor="accent1"/>
          <w:szCs w:val="20"/>
        </w:rPr>
      </w:pPr>
      <w:r w:rsidRPr="71D30AF0">
        <w:rPr>
          <w:rFonts w:eastAsia="Lora" w:cs="Lora"/>
          <w:color w:val="31595C" w:themeColor="accent1"/>
          <w:szCs w:val="20"/>
        </w:rPr>
        <w:t>Besoins liés à la ménopause, incluant mais sans se limiter aux bouffées de chaleur, aux troubles du sommeil et à l'impact psychologique.</w:t>
      </w:r>
    </w:p>
    <w:p w14:paraId="1C1D3801" w14:textId="0A32472B" w:rsidR="483C7E65" w:rsidRDefault="483C7E65" w:rsidP="71D30AF0">
      <w:pPr>
        <w:pStyle w:val="Paragraphedeliste"/>
        <w:numPr>
          <w:ilvl w:val="0"/>
          <w:numId w:val="28"/>
        </w:numPr>
        <w:spacing w:before="240" w:after="400"/>
        <w:jc w:val="both"/>
        <w:rPr>
          <w:rFonts w:eastAsia="Lora" w:cs="Lora"/>
          <w:color w:val="31595C" w:themeColor="accent1"/>
          <w:szCs w:val="20"/>
        </w:rPr>
      </w:pPr>
      <w:r w:rsidRPr="71D30AF0">
        <w:rPr>
          <w:rFonts w:eastAsia="Lora" w:cs="Lora"/>
          <w:color w:val="31595C" w:themeColor="accent1"/>
          <w:szCs w:val="20"/>
        </w:rPr>
        <w:t>Suivi de traitements hormonaux ou médicaux en lien avec la santé menstruelle et reproductive, tels que ceux liés à la fertilité, à la transition de genre, ou à d'autres conditions de santé hormonale.</w:t>
      </w:r>
    </w:p>
    <w:p w14:paraId="38F1BE8A" w14:textId="2B3680B0" w:rsidR="483C7E65" w:rsidRDefault="483C7E65" w:rsidP="71D30AF0">
      <w:pPr>
        <w:jc w:val="both"/>
        <w:rPr>
          <w:rFonts w:eastAsia="Lora" w:cs="Lora"/>
          <w:color w:val="000000" w:themeColor="text1"/>
          <w:szCs w:val="20"/>
        </w:rPr>
      </w:pPr>
      <w:r w:rsidRPr="71D30AF0">
        <w:rPr>
          <w:rFonts w:eastAsia="Lora" w:cs="Lora"/>
          <w:color w:val="000000" w:themeColor="text1"/>
          <w:szCs w:val="20"/>
        </w:rPr>
        <w:t>Ce congé reflète notre engagement à créer un lieu de travail inclusif et adaptatif, reconnaissant et respectant les divers besoins de santé menstruelle et hormonale de notre personnel. Nous nous engageons à revoir régulièrement cette politique pour s'assurer qu'elle répond efficacement aux besoins de toutes les personnes employées, et encourageons un dialogue ouvert pour son amélioration continue.</w:t>
      </w:r>
    </w:p>
    <w:p w14:paraId="1D8C746D" w14:textId="256DD50D" w:rsidR="71D30AF0" w:rsidRDefault="71D30AF0" w:rsidP="71D30AF0">
      <w:pPr>
        <w:jc w:val="both"/>
        <w:rPr>
          <w:rFonts w:ascii="Calibri" w:eastAsia="Calibri" w:hAnsi="Calibri" w:cs="Calibri"/>
          <w:color w:val="000000" w:themeColor="text1"/>
          <w:szCs w:val="20"/>
        </w:rPr>
      </w:pPr>
    </w:p>
    <w:p w14:paraId="6E5069F6" w14:textId="09CA1B65" w:rsidR="14567849" w:rsidRDefault="14567849" w:rsidP="71D30AF0">
      <w:pPr>
        <w:pStyle w:val="Titre1"/>
      </w:pPr>
      <w:bookmarkStart w:id="44" w:name="_Toc2030887025"/>
      <w:bookmarkStart w:id="45" w:name="_Toc223443545"/>
      <w:r w:rsidRPr="71D30AF0">
        <w:t xml:space="preserve">7| </w:t>
      </w:r>
      <w:r w:rsidR="483C7E65" w:rsidRPr="71D30AF0">
        <w:t>Structure salariale des postes</w:t>
      </w:r>
      <w:bookmarkEnd w:id="44"/>
      <w:bookmarkEnd w:id="45"/>
    </w:p>
    <w:p w14:paraId="0CAAC0D0" w14:textId="0D4F59FF" w:rsidR="483C7E65" w:rsidRDefault="483C7E65" w:rsidP="71D30AF0">
      <w:pPr>
        <w:pStyle w:val="Titre2"/>
        <w:rPr>
          <w:rFonts w:ascii="Rockwell" w:eastAsia="Rockwell" w:hAnsi="Rockwell" w:cs="Rockwell"/>
          <w:bCs/>
          <w:color w:val="287FA5"/>
          <w:szCs w:val="28"/>
        </w:rPr>
      </w:pPr>
      <w:bookmarkStart w:id="46" w:name="_Toc1244777189"/>
      <w:bookmarkStart w:id="47" w:name="_Toc223443546"/>
      <w:r w:rsidRPr="71D30AF0">
        <w:t>Le salaire annuel</w:t>
      </w:r>
      <w:bookmarkEnd w:id="46"/>
      <w:bookmarkEnd w:id="47"/>
      <w:r w:rsidRPr="71D30AF0">
        <w:t> </w:t>
      </w:r>
    </w:p>
    <w:p w14:paraId="265A14C0" w14:textId="1FCC46EB" w:rsidR="483C7E65" w:rsidRDefault="483C7E65" w:rsidP="71D30AF0">
      <w:pPr>
        <w:jc w:val="both"/>
        <w:rPr>
          <w:rFonts w:ascii="Calibri" w:eastAsia="Calibri" w:hAnsi="Calibri" w:cs="Calibri"/>
          <w:color w:val="000000" w:themeColor="text1"/>
          <w:szCs w:val="20"/>
        </w:rPr>
      </w:pPr>
      <w:r w:rsidRPr="71D30AF0">
        <w:t>Lors de l’embauche, la personne employée sera positionnée sur l’échelle salariale (voir annexe correspondante) du poste en fonction de sa formation, de son expérience et de ses connaissances particulières relatives au poste. Il n’y a pas d’échelon maximal pour l’entrée en poste. Le salaire sera modifié en fonction du processus d’augmentation tel que spécifié dans cette politique. Lors de la confirmation d’embauche, la personne employée sera informée par écrit de son salaire annuel. </w:t>
      </w:r>
    </w:p>
    <w:p w14:paraId="54DFC1D2" w14:textId="2968806D" w:rsidR="483C7E65" w:rsidRDefault="483C7E65" w:rsidP="71D30AF0">
      <w:pPr>
        <w:pStyle w:val="Titre2"/>
        <w:rPr>
          <w:rFonts w:ascii="Rockwell" w:eastAsia="Rockwell" w:hAnsi="Rockwell" w:cs="Rockwell"/>
          <w:bCs/>
          <w:color w:val="287FA5"/>
          <w:szCs w:val="28"/>
        </w:rPr>
      </w:pPr>
      <w:bookmarkStart w:id="48" w:name="_Toc655548193"/>
      <w:bookmarkStart w:id="49" w:name="_Toc223443547"/>
      <w:r w:rsidRPr="71D30AF0">
        <w:t>Période de probation</w:t>
      </w:r>
      <w:bookmarkEnd w:id="48"/>
      <w:bookmarkEnd w:id="49"/>
      <w:r w:rsidRPr="71D30AF0">
        <w:t> </w:t>
      </w:r>
    </w:p>
    <w:p w14:paraId="5038E548" w14:textId="740E0A65" w:rsidR="483C7E65" w:rsidRDefault="483C7E65" w:rsidP="71D30AF0">
      <w:pPr>
        <w:jc w:val="both"/>
      </w:pPr>
      <w:r w:rsidRPr="71D30AF0">
        <w:t>Lors de son embauche, la personne employée sera soumise à une période de probation de 6 mois. Une rencontre d’évaluation sera prévue entre la personne employée et la</w:t>
      </w:r>
      <w:r w:rsidR="555BC586" w:rsidRPr="71D30AF0">
        <w:t xml:space="preserve"> direction avant</w:t>
      </w:r>
      <w:r w:rsidRPr="71D30AF0">
        <w:t xml:space="preserve"> la fin de celle-ci.</w:t>
      </w:r>
    </w:p>
    <w:p w14:paraId="7978A1AB" w14:textId="713D3F21" w:rsidR="71D30AF0" w:rsidRDefault="71D30AF0" w:rsidP="71D30AF0">
      <w:pPr>
        <w:jc w:val="both"/>
      </w:pPr>
    </w:p>
    <w:p w14:paraId="1CCCDD18" w14:textId="6E9DA208" w:rsidR="483C7E65" w:rsidRDefault="483C7E65" w:rsidP="71D30AF0">
      <w:pPr>
        <w:jc w:val="both"/>
      </w:pPr>
      <w:r w:rsidRPr="71D30AF0">
        <w:t>À la suite d’une évaluation positive de probation, le salaire de la</w:t>
      </w:r>
      <w:r w:rsidR="7F76FC17" w:rsidRPr="71D30AF0">
        <w:t xml:space="preserve"> personne employée augmente</w:t>
      </w:r>
      <w:r w:rsidRPr="71D30AF0">
        <w:t xml:space="preserve"> d’un échelon salarial et le statut d’emploi est considéré comme permanent. Le résultat d’une rencontre de probation peut aussi mener à une prolongation de la période de probation ou à une fin d’emploi.</w:t>
      </w:r>
    </w:p>
    <w:p w14:paraId="768B913C" w14:textId="00D1D7B9" w:rsidR="483C7E65" w:rsidRDefault="483C7E65" w:rsidP="71D30AF0">
      <w:pPr>
        <w:pStyle w:val="Titre2"/>
        <w:rPr>
          <w:rFonts w:ascii="Rockwell" w:eastAsia="Rockwell" w:hAnsi="Rockwell" w:cs="Rockwell"/>
          <w:bCs/>
          <w:color w:val="287FA5"/>
          <w:szCs w:val="28"/>
        </w:rPr>
      </w:pPr>
      <w:bookmarkStart w:id="50" w:name="_Toc539886072"/>
      <w:bookmarkStart w:id="51" w:name="_Toc223443548"/>
      <w:r w:rsidRPr="71D30AF0">
        <w:lastRenderedPageBreak/>
        <w:t>Les avantages sociaux</w:t>
      </w:r>
      <w:bookmarkEnd w:id="50"/>
      <w:bookmarkEnd w:id="51"/>
      <w:r w:rsidRPr="71D30AF0">
        <w:t> </w:t>
      </w:r>
    </w:p>
    <w:p w14:paraId="538D80C9" w14:textId="3A7FB2F0" w:rsidR="483C7E65" w:rsidRDefault="483C7E65" w:rsidP="71D30AF0">
      <w:pPr>
        <w:pStyle w:val="Titre4"/>
        <w:rPr>
          <w:rFonts w:ascii="Rockwell" w:eastAsia="Rockwell" w:hAnsi="Rockwell" w:cs="Rockwell"/>
          <w:b w:val="0"/>
          <w:iCs w:val="0"/>
          <w:color w:val="003A60"/>
          <w:sz w:val="26"/>
          <w:szCs w:val="26"/>
        </w:rPr>
      </w:pPr>
      <w:bookmarkStart w:id="52" w:name="_Toc1111855705"/>
      <w:bookmarkStart w:id="53" w:name="_Toc223443549"/>
      <w:r w:rsidRPr="71D30AF0">
        <w:t>Fonds de pension et assurance collective</w:t>
      </w:r>
      <w:bookmarkEnd w:id="52"/>
      <w:bookmarkEnd w:id="53"/>
      <w:r w:rsidRPr="71D30AF0">
        <w:t> </w:t>
      </w:r>
    </w:p>
    <w:p w14:paraId="37AAAEE2" w14:textId="76381FF2" w:rsidR="483C7E65" w:rsidRDefault="483C7E65" w:rsidP="71D30AF0">
      <w:pPr>
        <w:jc w:val="both"/>
      </w:pPr>
      <w:r w:rsidRPr="71D30AF0">
        <w:t>La Fondation Béati souscrira, pour chaque personne employée régulière, à un fonds de retraite et y versera un montant forfaitaire égal à 10% du salaire annuel payé, ce montant est réparti sur les 26 périodes de paie.  L’inscription à ce régime de retraite se fait</w:t>
      </w:r>
      <w:r w:rsidR="1A458098" w:rsidRPr="71D30AF0">
        <w:t xml:space="preserve"> dès l’embauche</w:t>
      </w:r>
      <w:r w:rsidRPr="71D30AF0">
        <w:t>.</w:t>
      </w:r>
    </w:p>
    <w:p w14:paraId="0C060189" w14:textId="51856D05" w:rsidR="71D30AF0" w:rsidRDefault="71D30AF0" w:rsidP="71D30AF0">
      <w:pPr>
        <w:jc w:val="both"/>
      </w:pPr>
    </w:p>
    <w:p w14:paraId="1F3E3599" w14:textId="44735CCE" w:rsidR="483C7E65" w:rsidRDefault="483C7E65" w:rsidP="71D30AF0">
      <w:pPr>
        <w:jc w:val="both"/>
        <w:rPr>
          <w:rFonts w:ascii="Calibri" w:eastAsia="Calibri" w:hAnsi="Calibri" w:cs="Calibri"/>
          <w:color w:val="000000" w:themeColor="text1"/>
          <w:szCs w:val="20"/>
        </w:rPr>
      </w:pPr>
      <w:r w:rsidRPr="71D30AF0">
        <w:t xml:space="preserve">La Fondation Béati souscrira, pour chaque personne employée permanente, à une assurance collective et assume 50% des coûts liés à la prime d’assurance.  Ces avantages sociaux sont proposés dès l’embauche. </w:t>
      </w:r>
    </w:p>
    <w:p w14:paraId="68E806B5" w14:textId="2D965E23" w:rsidR="483C7E65" w:rsidRDefault="483C7E65" w:rsidP="71D30AF0">
      <w:pPr>
        <w:pStyle w:val="Titre4"/>
        <w:rPr>
          <w:rFonts w:ascii="Rockwell" w:eastAsia="Rockwell" w:hAnsi="Rockwell" w:cs="Rockwell"/>
          <w:b w:val="0"/>
          <w:iCs w:val="0"/>
          <w:color w:val="003A60"/>
          <w:sz w:val="26"/>
          <w:szCs w:val="26"/>
        </w:rPr>
      </w:pPr>
      <w:bookmarkStart w:id="54" w:name="_Toc274191903"/>
      <w:bookmarkStart w:id="55" w:name="_Toc223443550"/>
      <w:r w:rsidRPr="71D30AF0">
        <w:t>Jours fériés</w:t>
      </w:r>
      <w:bookmarkEnd w:id="54"/>
      <w:bookmarkEnd w:id="55"/>
      <w:r w:rsidRPr="71D30AF0">
        <w:t> </w:t>
      </w:r>
    </w:p>
    <w:p w14:paraId="0D2E49A3" w14:textId="1CCBACC2" w:rsidR="483C7E65" w:rsidRDefault="483C7E65" w:rsidP="71D30AF0">
      <w:pPr>
        <w:jc w:val="both"/>
        <w:rPr>
          <w:rFonts w:eastAsia="Lora" w:cs="Lora"/>
          <w:color w:val="000000" w:themeColor="text1"/>
          <w:szCs w:val="20"/>
        </w:rPr>
      </w:pPr>
      <w:r w:rsidRPr="71D30AF0">
        <w:rPr>
          <w:rFonts w:eastAsia="Lora" w:cs="Lora"/>
          <w:color w:val="000000" w:themeColor="text1"/>
          <w:szCs w:val="20"/>
        </w:rPr>
        <w:t>Les personnes employées acquièrent le droit aux jours fériés et chômés dès l’embauche. Ces congés sont au nombre de 11 et sont les suivants :</w:t>
      </w:r>
    </w:p>
    <w:p w14:paraId="3A1BB201" w14:textId="12FE0F9D"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Jour de l’an</w:t>
      </w:r>
    </w:p>
    <w:p w14:paraId="5CD0A25A" w14:textId="4B4474A5"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lendemain du jour de l’an*</w:t>
      </w:r>
    </w:p>
    <w:p w14:paraId="42D71E58" w14:textId="32602FA2"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Vendredi saint*</w:t>
      </w:r>
    </w:p>
    <w:p w14:paraId="73FE6043" w14:textId="2090C848"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lundi de Pâques</w:t>
      </w:r>
    </w:p>
    <w:p w14:paraId="26B1D009" w14:textId="6C9820B2"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 xml:space="preserve">Le lundi qui précède le 25 mai </w:t>
      </w:r>
    </w:p>
    <w:p w14:paraId="7D690C1D" w14:textId="51A20A3D"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24 ou 25 juin si dimanche</w:t>
      </w:r>
    </w:p>
    <w:p w14:paraId="3A6580A0" w14:textId="484B41F1"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1</w:t>
      </w:r>
      <w:r w:rsidRPr="71D30AF0">
        <w:rPr>
          <w:rFonts w:eastAsia="Lora" w:cs="Lora"/>
          <w:color w:val="31595C" w:themeColor="accent1"/>
          <w:szCs w:val="20"/>
          <w:vertAlign w:val="superscript"/>
        </w:rPr>
        <w:t>er</w:t>
      </w:r>
      <w:r w:rsidRPr="71D30AF0">
        <w:rPr>
          <w:rFonts w:eastAsia="Lora" w:cs="Lora"/>
          <w:color w:val="31595C" w:themeColor="accent1"/>
          <w:szCs w:val="20"/>
        </w:rPr>
        <w:t xml:space="preserve"> juillet ou 2 juillet si dimanche</w:t>
      </w:r>
    </w:p>
    <w:p w14:paraId="2EC2F3A6" w14:textId="50212599"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premier lundi de septembre</w:t>
      </w:r>
    </w:p>
    <w:p w14:paraId="35F8DDA4" w14:textId="13DB8E89"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2</w:t>
      </w:r>
      <w:r w:rsidRPr="71D30AF0">
        <w:rPr>
          <w:rFonts w:eastAsia="Lora" w:cs="Lora"/>
          <w:color w:val="31595C" w:themeColor="accent1"/>
          <w:szCs w:val="20"/>
          <w:vertAlign w:val="superscript"/>
        </w:rPr>
        <w:t>e</w:t>
      </w:r>
      <w:r w:rsidRPr="71D30AF0">
        <w:rPr>
          <w:rFonts w:eastAsia="Lora" w:cs="Lora"/>
          <w:color w:val="31595C" w:themeColor="accent1"/>
          <w:szCs w:val="20"/>
        </w:rPr>
        <w:t xml:space="preserve"> lundi d’octobre</w:t>
      </w:r>
    </w:p>
    <w:p w14:paraId="00AA169C" w14:textId="3B6684C8"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La veille de Noël *</w:t>
      </w:r>
    </w:p>
    <w:p w14:paraId="135E9029" w14:textId="3166742E" w:rsidR="483C7E65" w:rsidRDefault="483C7E65" w:rsidP="71D30AF0">
      <w:pPr>
        <w:pStyle w:val="Paragraphedeliste"/>
        <w:numPr>
          <w:ilvl w:val="0"/>
          <w:numId w:val="26"/>
        </w:numPr>
        <w:spacing w:before="240" w:after="400"/>
        <w:jc w:val="both"/>
        <w:rPr>
          <w:rFonts w:eastAsia="Lora" w:cs="Lora"/>
          <w:color w:val="31595C" w:themeColor="accent1"/>
          <w:szCs w:val="20"/>
        </w:rPr>
      </w:pPr>
      <w:r w:rsidRPr="71D30AF0">
        <w:rPr>
          <w:rFonts w:eastAsia="Lora" w:cs="Lora"/>
          <w:color w:val="31595C" w:themeColor="accent1"/>
          <w:szCs w:val="20"/>
        </w:rPr>
        <w:t>Le jour de Noël</w:t>
      </w:r>
    </w:p>
    <w:p w14:paraId="7CCD1DD9" w14:textId="2FB095C0" w:rsidR="483C7E65" w:rsidRDefault="483C7E65" w:rsidP="71D30AF0">
      <w:pPr>
        <w:jc w:val="both"/>
        <w:rPr>
          <w:rFonts w:eastAsia="Lora" w:cs="Lora"/>
          <w:color w:val="000000" w:themeColor="text1"/>
          <w:szCs w:val="20"/>
        </w:rPr>
      </w:pPr>
      <w:r w:rsidRPr="71D30AF0">
        <w:rPr>
          <w:rFonts w:eastAsia="Lora" w:cs="Lora"/>
          <w:color w:val="000000" w:themeColor="text1"/>
          <w:szCs w:val="20"/>
          <w:lang w:val="fr-FR"/>
        </w:rPr>
        <w:t>*Les trois (3) journées non obligatoires selon la loi peuvent être transférées, à la demande de la personne employée, pour tenir compte de croyances et/ou religions différentes à celles liées à la religion et aux traditions catholiques.</w:t>
      </w:r>
    </w:p>
    <w:p w14:paraId="2A74C6A5" w14:textId="021BC70E" w:rsidR="71D30AF0" w:rsidRDefault="71D30AF0" w:rsidP="71D30AF0">
      <w:pPr>
        <w:jc w:val="both"/>
        <w:rPr>
          <w:rFonts w:eastAsia="Lora" w:cs="Lora"/>
          <w:color w:val="000000" w:themeColor="text1"/>
          <w:szCs w:val="20"/>
          <w:lang w:val="fr-FR"/>
        </w:rPr>
      </w:pPr>
    </w:p>
    <w:p w14:paraId="35B35CB2" w14:textId="52740F8B" w:rsidR="483C7E65" w:rsidRDefault="483C7E65" w:rsidP="71D30AF0">
      <w:pPr>
        <w:jc w:val="both"/>
        <w:rPr>
          <w:rFonts w:eastAsia="Lora" w:cs="Lora"/>
          <w:color w:val="000000" w:themeColor="text1"/>
          <w:szCs w:val="20"/>
        </w:rPr>
      </w:pPr>
      <w:r w:rsidRPr="71D30AF0">
        <w:rPr>
          <w:rFonts w:eastAsia="Lora" w:cs="Lora"/>
          <w:color w:val="000000" w:themeColor="text1"/>
          <w:szCs w:val="20"/>
          <w:lang w:val="fr-FR"/>
        </w:rPr>
        <w:t>Pour chaque jour férié et chômé, la Fondation Béati versera à la personne salariée une indemnité correspondant à une journée régulière de travail sans tenir compte des heures supplémentaires. La journée régulière sera calculée selon l’horaire de la personne employée, que celui-ci soit de 35h/semaine ou 28h/semaine.</w:t>
      </w:r>
    </w:p>
    <w:p w14:paraId="293FC396" w14:textId="0CEE0725" w:rsidR="71D30AF0" w:rsidRDefault="71D30AF0" w:rsidP="71D30AF0">
      <w:pPr>
        <w:jc w:val="both"/>
        <w:rPr>
          <w:rFonts w:eastAsia="Lora" w:cs="Lora"/>
          <w:color w:val="000000" w:themeColor="text1"/>
          <w:szCs w:val="20"/>
          <w:lang w:val="fr-FR"/>
        </w:rPr>
      </w:pPr>
    </w:p>
    <w:p w14:paraId="5A5697EA" w14:textId="7BB4CD92" w:rsidR="483C7E65" w:rsidRDefault="483C7E65" w:rsidP="71D30AF0">
      <w:pPr>
        <w:jc w:val="both"/>
        <w:rPr>
          <w:rFonts w:eastAsia="Lora" w:cs="Lora"/>
          <w:color w:val="000000" w:themeColor="text1"/>
          <w:szCs w:val="20"/>
        </w:rPr>
      </w:pPr>
      <w:r w:rsidRPr="71D30AF0">
        <w:rPr>
          <w:rFonts w:eastAsia="Lora" w:cs="Lora"/>
          <w:color w:val="000000" w:themeColor="text1"/>
          <w:szCs w:val="20"/>
        </w:rPr>
        <w:t>Si un jour férié coïncide avec une période où la personne employée est en vacances, ce congé est reporté à une date ultérieure, après entente avec la direction générale.  Cette remise de congé est prise en temps simple. </w:t>
      </w:r>
    </w:p>
    <w:p w14:paraId="39C5F2DD" w14:textId="1A06B4C2" w:rsidR="71D30AF0" w:rsidRDefault="71D30AF0" w:rsidP="71D30AF0">
      <w:pPr>
        <w:jc w:val="both"/>
        <w:rPr>
          <w:rFonts w:eastAsia="Lora" w:cs="Lora"/>
          <w:color w:val="000000" w:themeColor="text1"/>
          <w:szCs w:val="20"/>
        </w:rPr>
      </w:pPr>
    </w:p>
    <w:p w14:paraId="213E2243" w14:textId="312BD526" w:rsidR="483C7E65" w:rsidRDefault="483C7E65" w:rsidP="71D30AF0">
      <w:pPr>
        <w:jc w:val="both"/>
        <w:rPr>
          <w:rFonts w:eastAsia="Lora" w:cs="Lora"/>
          <w:color w:val="000000" w:themeColor="text1"/>
          <w:szCs w:val="20"/>
        </w:rPr>
      </w:pPr>
      <w:r w:rsidRPr="71D30AF0">
        <w:rPr>
          <w:rFonts w:eastAsia="Lora" w:cs="Lora"/>
          <w:color w:val="000000" w:themeColor="text1"/>
          <w:szCs w:val="20"/>
        </w:rPr>
        <w:t>Dans le cas exceptionnel où une personne employée doit être au travail pendant un jour férié pour le bien de l’organisation, elle a droit à son salaire pour sa journée de travail, plus l’indemnité de 1/20 ou un congé à reprendre dans les 3 semaines qui suivent.</w:t>
      </w:r>
    </w:p>
    <w:p w14:paraId="38E431CF" w14:textId="28B2C9CC" w:rsidR="483C7E65" w:rsidRDefault="483C7E65" w:rsidP="71D30AF0">
      <w:pPr>
        <w:pStyle w:val="Titre4"/>
        <w:rPr>
          <w:rFonts w:ascii="Rockwell" w:eastAsia="Rockwell" w:hAnsi="Rockwell" w:cs="Rockwell"/>
          <w:b w:val="0"/>
          <w:iCs w:val="0"/>
          <w:color w:val="003A60"/>
          <w:sz w:val="26"/>
          <w:szCs w:val="26"/>
        </w:rPr>
      </w:pPr>
      <w:bookmarkStart w:id="56" w:name="_Toc21942771"/>
      <w:bookmarkStart w:id="57" w:name="_Toc223443551"/>
      <w:r w:rsidRPr="71D30AF0">
        <w:t>Incitatifs pour le transport en commun</w:t>
      </w:r>
      <w:bookmarkEnd w:id="56"/>
      <w:bookmarkEnd w:id="57"/>
    </w:p>
    <w:p w14:paraId="3EB036CD" w14:textId="2D3FFD94"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Dans le cadre de notre engagement envers la justice environnementale et sociale, nous avons instauré un incitatif financier pour encourager l'utilisation du transport en commun parmi </w:t>
      </w:r>
      <w:proofErr w:type="gramStart"/>
      <w:r w:rsidRPr="71D30AF0">
        <w:rPr>
          <w:rFonts w:eastAsia="Lora" w:cs="Lora"/>
          <w:color w:val="000000" w:themeColor="text1"/>
          <w:szCs w:val="20"/>
        </w:rPr>
        <w:t xml:space="preserve">nos </w:t>
      </w:r>
      <w:r w:rsidRPr="71D30AF0">
        <w:rPr>
          <w:rFonts w:eastAsia="Lora" w:cs="Lora"/>
          <w:color w:val="000000" w:themeColor="text1"/>
          <w:szCs w:val="20"/>
        </w:rPr>
        <w:lastRenderedPageBreak/>
        <w:t>employé</w:t>
      </w:r>
      <w:proofErr w:type="gramEnd"/>
      <w:r w:rsidRPr="71D30AF0">
        <w:rPr>
          <w:rFonts w:eastAsia="Lora" w:cs="Lora"/>
          <w:color w:val="000000" w:themeColor="text1"/>
          <w:szCs w:val="20"/>
        </w:rPr>
        <w:t>.e.s. Cette initiative vise à réduire notre empreinte carbone collective, à promouvoir une mobilité durable et à soutenir l'accès équitable aux moyens de transport.</w:t>
      </w:r>
    </w:p>
    <w:p w14:paraId="1AC1D758" w14:textId="525F9282" w:rsidR="71D30AF0" w:rsidRDefault="71D30AF0" w:rsidP="71D30AF0">
      <w:pPr>
        <w:jc w:val="both"/>
        <w:rPr>
          <w:rFonts w:eastAsia="Lora" w:cs="Lora"/>
          <w:color w:val="000000" w:themeColor="text1"/>
          <w:szCs w:val="20"/>
        </w:rPr>
      </w:pPr>
    </w:p>
    <w:p w14:paraId="74613ADC" w14:textId="7B89C6CC"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Chaque </w:t>
      </w:r>
      <w:proofErr w:type="gramStart"/>
      <w:r w:rsidRPr="71D30AF0">
        <w:rPr>
          <w:rFonts w:eastAsia="Lora" w:cs="Lora"/>
          <w:color w:val="000000" w:themeColor="text1"/>
          <w:szCs w:val="20"/>
        </w:rPr>
        <w:t>employé.e</w:t>
      </w:r>
      <w:proofErr w:type="gramEnd"/>
      <w:r w:rsidRPr="71D30AF0">
        <w:rPr>
          <w:rFonts w:eastAsia="Lora" w:cs="Lora"/>
          <w:color w:val="000000" w:themeColor="text1"/>
          <w:szCs w:val="20"/>
        </w:rPr>
        <w:t xml:space="preserve"> est éligible à un incitatif calculé sur la base de 50 % du coût d'une carte mensuelle de la STM pour la zone A (agglomération de Montréal). Ce soutien financier reflète notre engagement à favoriser des pratiques écologiques tout en tenant compte des réalités économiques et sociales de nos employé.e.s.</w:t>
      </w:r>
    </w:p>
    <w:p w14:paraId="47506F03" w14:textId="096E5082" w:rsidR="483C7E65" w:rsidRDefault="483C7E65" w:rsidP="71D30AF0">
      <w:pPr>
        <w:jc w:val="both"/>
        <w:rPr>
          <w:rFonts w:eastAsia="Lora" w:cs="Lora"/>
          <w:color w:val="000000" w:themeColor="text1"/>
          <w:szCs w:val="20"/>
        </w:rPr>
      </w:pPr>
      <w:r w:rsidRPr="71D30AF0">
        <w:rPr>
          <w:rFonts w:eastAsia="Lora" w:cs="Lora"/>
          <w:color w:val="000000" w:themeColor="text1"/>
          <w:szCs w:val="20"/>
        </w:rPr>
        <w:t>Objectifs de l’incitatif :</w:t>
      </w:r>
    </w:p>
    <w:p w14:paraId="49B9CA84" w14:textId="115960ED" w:rsidR="483C7E65" w:rsidRDefault="483C7E65" w:rsidP="71D30AF0">
      <w:pPr>
        <w:pStyle w:val="Paragraphedeliste"/>
        <w:numPr>
          <w:ilvl w:val="0"/>
          <w:numId w:val="25"/>
        </w:numPr>
        <w:spacing w:before="240" w:after="400"/>
        <w:jc w:val="both"/>
        <w:rPr>
          <w:rFonts w:eastAsia="Lora" w:cs="Lora"/>
          <w:color w:val="31595C" w:themeColor="accent1"/>
          <w:szCs w:val="20"/>
        </w:rPr>
      </w:pPr>
      <w:r w:rsidRPr="71D30AF0">
        <w:rPr>
          <w:rFonts w:eastAsia="Lora" w:cs="Lora"/>
          <w:color w:val="31595C" w:themeColor="accent1"/>
          <w:szCs w:val="20"/>
        </w:rPr>
        <w:t>Réduire les émissions de gaz à effet de serre associées aux déplacements domicile-travail.</w:t>
      </w:r>
    </w:p>
    <w:p w14:paraId="6F1479FD" w14:textId="4C6BA193" w:rsidR="483C7E65" w:rsidRDefault="483C7E65" w:rsidP="71D30AF0">
      <w:pPr>
        <w:pStyle w:val="Paragraphedeliste"/>
        <w:numPr>
          <w:ilvl w:val="0"/>
          <w:numId w:val="25"/>
        </w:numPr>
        <w:spacing w:before="240" w:after="400"/>
        <w:jc w:val="both"/>
        <w:rPr>
          <w:rFonts w:eastAsia="Lora" w:cs="Lora"/>
          <w:color w:val="31595C" w:themeColor="accent1"/>
          <w:szCs w:val="20"/>
        </w:rPr>
      </w:pPr>
      <w:r w:rsidRPr="71D30AF0">
        <w:rPr>
          <w:rFonts w:eastAsia="Lora" w:cs="Lora"/>
          <w:color w:val="31595C" w:themeColor="accent1"/>
          <w:szCs w:val="20"/>
        </w:rPr>
        <w:t>Promouvoir l'égalité d'accès aux moyens de transport durables.</w:t>
      </w:r>
    </w:p>
    <w:p w14:paraId="50B13CF0" w14:textId="0C1689DB" w:rsidR="483C7E65" w:rsidRDefault="483C7E65" w:rsidP="71D30AF0">
      <w:pPr>
        <w:pStyle w:val="Paragraphedeliste"/>
        <w:numPr>
          <w:ilvl w:val="0"/>
          <w:numId w:val="25"/>
        </w:numPr>
        <w:spacing w:before="240" w:after="400"/>
        <w:jc w:val="both"/>
        <w:rPr>
          <w:rFonts w:eastAsia="Lora" w:cs="Lora"/>
          <w:color w:val="31595C" w:themeColor="accent1"/>
          <w:szCs w:val="20"/>
        </w:rPr>
      </w:pPr>
      <w:r w:rsidRPr="71D30AF0">
        <w:rPr>
          <w:rFonts w:eastAsia="Lora" w:cs="Lora"/>
          <w:color w:val="31595C" w:themeColor="accent1"/>
          <w:szCs w:val="20"/>
        </w:rPr>
        <w:t>Encourager une culture d'organisation respectueuse de l'environnement.</w:t>
      </w:r>
    </w:p>
    <w:p w14:paraId="751ECEF9" w14:textId="1D1E61E5" w:rsidR="483C7E65" w:rsidRDefault="483C7E65" w:rsidP="71D30AF0">
      <w:pPr>
        <w:jc w:val="both"/>
        <w:rPr>
          <w:rFonts w:eastAsia="Lora" w:cs="Lora"/>
          <w:color w:val="000000" w:themeColor="text1"/>
          <w:szCs w:val="20"/>
        </w:rPr>
      </w:pPr>
      <w:r w:rsidRPr="71D30AF0">
        <w:rPr>
          <w:rFonts w:eastAsia="Lora" w:cs="Lora"/>
          <w:color w:val="000000" w:themeColor="text1"/>
          <w:szCs w:val="20"/>
        </w:rPr>
        <w:t>Modalités :</w:t>
      </w:r>
    </w:p>
    <w:p w14:paraId="00E7759E" w14:textId="1C2E18D2" w:rsidR="483C7E65" w:rsidRDefault="483C7E65" w:rsidP="71D30AF0">
      <w:pPr>
        <w:pStyle w:val="Paragraphedeliste"/>
        <w:numPr>
          <w:ilvl w:val="0"/>
          <w:numId w:val="24"/>
        </w:numPr>
        <w:spacing w:before="240" w:after="400"/>
        <w:jc w:val="both"/>
        <w:rPr>
          <w:rFonts w:eastAsia="Lora" w:cs="Lora"/>
          <w:color w:val="31595C" w:themeColor="accent1"/>
          <w:szCs w:val="20"/>
        </w:rPr>
      </w:pPr>
      <w:r w:rsidRPr="71D30AF0">
        <w:rPr>
          <w:rFonts w:eastAsia="Lora" w:cs="Lora"/>
          <w:color w:val="31595C" w:themeColor="accent1"/>
          <w:szCs w:val="20"/>
        </w:rPr>
        <w:t xml:space="preserve">Le remboursement est versé directement sur le compte bancaire </w:t>
      </w:r>
      <w:proofErr w:type="gramStart"/>
      <w:r w:rsidRPr="71D30AF0">
        <w:rPr>
          <w:rFonts w:eastAsia="Lora" w:cs="Lora"/>
          <w:color w:val="31595C" w:themeColor="accent1"/>
          <w:szCs w:val="20"/>
        </w:rPr>
        <w:t>des employé</w:t>
      </w:r>
      <w:proofErr w:type="gramEnd"/>
      <w:r w:rsidRPr="71D30AF0">
        <w:rPr>
          <w:rFonts w:eastAsia="Lora" w:cs="Lora"/>
          <w:color w:val="31595C" w:themeColor="accent1"/>
          <w:szCs w:val="20"/>
        </w:rPr>
        <w:t>.</w:t>
      </w:r>
      <w:proofErr w:type="gramStart"/>
      <w:r w:rsidRPr="71D30AF0">
        <w:rPr>
          <w:rFonts w:eastAsia="Lora" w:cs="Lora"/>
          <w:color w:val="31595C" w:themeColor="accent1"/>
          <w:szCs w:val="20"/>
        </w:rPr>
        <w:t>e.s</w:t>
      </w:r>
      <w:proofErr w:type="gramEnd"/>
      <w:r w:rsidRPr="71D30AF0">
        <w:rPr>
          <w:rFonts w:eastAsia="Lora" w:cs="Lora"/>
          <w:color w:val="31595C" w:themeColor="accent1"/>
          <w:szCs w:val="20"/>
        </w:rPr>
        <w:t xml:space="preserve"> éligibles, </w:t>
      </w:r>
    </w:p>
    <w:p w14:paraId="69323C80" w14:textId="64BE962D" w:rsidR="483C7E65" w:rsidRDefault="483C7E65" w:rsidP="71D30AF0">
      <w:pPr>
        <w:pStyle w:val="Paragraphedeliste"/>
        <w:numPr>
          <w:ilvl w:val="0"/>
          <w:numId w:val="24"/>
        </w:numPr>
        <w:spacing w:before="240" w:after="400"/>
        <w:jc w:val="both"/>
        <w:rPr>
          <w:rFonts w:eastAsia="Lora" w:cs="Lora"/>
          <w:color w:val="31595C" w:themeColor="accent1"/>
          <w:szCs w:val="20"/>
        </w:rPr>
      </w:pPr>
      <w:proofErr w:type="gramStart"/>
      <w:r w:rsidRPr="71D30AF0">
        <w:rPr>
          <w:rFonts w:eastAsia="Lora" w:cs="Lora"/>
          <w:color w:val="31595C" w:themeColor="accent1"/>
          <w:szCs w:val="20"/>
        </w:rPr>
        <w:t>Les employé</w:t>
      </w:r>
      <w:proofErr w:type="gramEnd"/>
      <w:r w:rsidRPr="71D30AF0">
        <w:rPr>
          <w:rFonts w:eastAsia="Lora" w:cs="Lora"/>
          <w:color w:val="31595C" w:themeColor="accent1"/>
          <w:szCs w:val="20"/>
        </w:rPr>
        <w:t>.</w:t>
      </w:r>
      <w:proofErr w:type="gramStart"/>
      <w:r w:rsidRPr="71D30AF0">
        <w:rPr>
          <w:rFonts w:eastAsia="Lora" w:cs="Lora"/>
          <w:color w:val="31595C" w:themeColor="accent1"/>
          <w:szCs w:val="20"/>
        </w:rPr>
        <w:t>e.s</w:t>
      </w:r>
      <w:proofErr w:type="gramEnd"/>
      <w:r w:rsidRPr="71D30AF0">
        <w:rPr>
          <w:rFonts w:eastAsia="Lora" w:cs="Lora"/>
          <w:color w:val="31595C" w:themeColor="accent1"/>
          <w:szCs w:val="20"/>
        </w:rPr>
        <w:t xml:space="preserve"> n'ont pas à soumettre de justificatifs de dépenses </w:t>
      </w:r>
    </w:p>
    <w:p w14:paraId="65DF07D4" w14:textId="36B724EB" w:rsidR="483C7E65" w:rsidRDefault="483C7E65" w:rsidP="71D30AF0">
      <w:pPr>
        <w:pStyle w:val="Paragraphedeliste"/>
        <w:numPr>
          <w:ilvl w:val="0"/>
          <w:numId w:val="24"/>
        </w:numPr>
        <w:spacing w:before="240" w:after="400"/>
        <w:jc w:val="both"/>
        <w:rPr>
          <w:rFonts w:eastAsia="Lora" w:cs="Lora"/>
          <w:color w:val="31595C" w:themeColor="accent1"/>
          <w:szCs w:val="20"/>
        </w:rPr>
      </w:pPr>
      <w:r w:rsidRPr="71D30AF0">
        <w:rPr>
          <w:rFonts w:eastAsia="Lora" w:cs="Lora"/>
          <w:color w:val="31595C" w:themeColor="accent1"/>
          <w:szCs w:val="20"/>
        </w:rPr>
        <w:t>Le remboursement est octroyé uniquement pour les mois où il y a des rencontres au bureau. Les mois d'été entièrement en télétravail ne sont pas admissibles.</w:t>
      </w:r>
    </w:p>
    <w:p w14:paraId="21D8D0C3" w14:textId="6B08CE80" w:rsidR="483C7E65" w:rsidRDefault="483C7E65" w:rsidP="71D30AF0">
      <w:pPr>
        <w:pStyle w:val="Paragraphedeliste"/>
        <w:numPr>
          <w:ilvl w:val="0"/>
          <w:numId w:val="24"/>
        </w:numPr>
        <w:spacing w:before="240" w:after="400"/>
        <w:jc w:val="both"/>
        <w:rPr>
          <w:rFonts w:eastAsia="Lora" w:cs="Lora"/>
          <w:color w:val="31595C" w:themeColor="accent1"/>
          <w:szCs w:val="20"/>
        </w:rPr>
      </w:pPr>
      <w:r w:rsidRPr="71D30AF0">
        <w:rPr>
          <w:rFonts w:eastAsia="Lora" w:cs="Lora"/>
          <w:color w:val="31595C" w:themeColor="accent1"/>
          <w:szCs w:val="20"/>
        </w:rPr>
        <w:t xml:space="preserve">Cette politique s'applique à tous </w:t>
      </w:r>
      <w:proofErr w:type="gramStart"/>
      <w:r w:rsidRPr="71D30AF0">
        <w:rPr>
          <w:rFonts w:eastAsia="Lora" w:cs="Lora"/>
          <w:color w:val="31595C" w:themeColor="accent1"/>
          <w:szCs w:val="20"/>
        </w:rPr>
        <w:t>les employé</w:t>
      </w:r>
      <w:proofErr w:type="gramEnd"/>
      <w:r w:rsidRPr="71D30AF0">
        <w:rPr>
          <w:rFonts w:eastAsia="Lora" w:cs="Lora"/>
          <w:color w:val="31595C" w:themeColor="accent1"/>
          <w:szCs w:val="20"/>
        </w:rPr>
        <w:t>.</w:t>
      </w:r>
      <w:proofErr w:type="gramStart"/>
      <w:r w:rsidRPr="71D30AF0">
        <w:rPr>
          <w:rFonts w:eastAsia="Lora" w:cs="Lora"/>
          <w:color w:val="31595C" w:themeColor="accent1"/>
          <w:szCs w:val="20"/>
        </w:rPr>
        <w:t>e.s</w:t>
      </w:r>
      <w:proofErr w:type="gramEnd"/>
      <w:r w:rsidRPr="71D30AF0">
        <w:rPr>
          <w:rFonts w:eastAsia="Lora" w:cs="Lora"/>
          <w:color w:val="31595C" w:themeColor="accent1"/>
          <w:szCs w:val="20"/>
        </w:rPr>
        <w:t xml:space="preserve"> à temps plein et à temps partiel, sans distinction de poste ou de niveau hiérarchique.</w:t>
      </w:r>
    </w:p>
    <w:p w14:paraId="61CF2E72" w14:textId="17566637" w:rsidR="483C7E65" w:rsidRDefault="483C7E65" w:rsidP="71D30AF0">
      <w:pPr>
        <w:jc w:val="both"/>
        <w:rPr>
          <w:rFonts w:eastAsia="Lora" w:cs="Lora"/>
          <w:color w:val="000000" w:themeColor="text1"/>
          <w:szCs w:val="20"/>
        </w:rPr>
      </w:pPr>
      <w:r w:rsidRPr="71D30AF0">
        <w:rPr>
          <w:rFonts w:eastAsia="Lora" w:cs="Lora"/>
          <w:color w:val="000000" w:themeColor="text1"/>
          <w:szCs w:val="20"/>
        </w:rPr>
        <w:t>Nous croyons fermement que cette initiative contribuera à notre objectif commun de créer un environnement de travail plus vert et plus inclusif, tout en soutenant nos valeurs progressistes. Nous encourageons tou.</w:t>
      </w:r>
      <w:proofErr w:type="gramStart"/>
      <w:r w:rsidRPr="71D30AF0">
        <w:rPr>
          <w:rFonts w:eastAsia="Lora" w:cs="Lora"/>
          <w:color w:val="000000" w:themeColor="text1"/>
          <w:szCs w:val="20"/>
        </w:rPr>
        <w:t>te.s</w:t>
      </w:r>
      <w:proofErr w:type="gramEnd"/>
      <w:r w:rsidRPr="71D30AF0">
        <w:rPr>
          <w:rFonts w:eastAsia="Lora" w:cs="Lora"/>
          <w:color w:val="000000" w:themeColor="text1"/>
          <w:szCs w:val="20"/>
        </w:rPr>
        <w:t xml:space="preserve"> </w:t>
      </w:r>
      <w:proofErr w:type="gramStart"/>
      <w:r w:rsidRPr="71D30AF0">
        <w:rPr>
          <w:rFonts w:eastAsia="Lora" w:cs="Lora"/>
          <w:color w:val="000000" w:themeColor="text1"/>
          <w:szCs w:val="20"/>
        </w:rPr>
        <w:t>les employé</w:t>
      </w:r>
      <w:proofErr w:type="gramEnd"/>
      <w:r w:rsidRPr="71D30AF0">
        <w:rPr>
          <w:rFonts w:eastAsia="Lora" w:cs="Lora"/>
          <w:color w:val="000000" w:themeColor="text1"/>
          <w:szCs w:val="20"/>
        </w:rPr>
        <w:t>.</w:t>
      </w:r>
      <w:proofErr w:type="gramStart"/>
      <w:r w:rsidRPr="71D30AF0">
        <w:rPr>
          <w:rFonts w:eastAsia="Lora" w:cs="Lora"/>
          <w:color w:val="000000" w:themeColor="text1"/>
          <w:szCs w:val="20"/>
        </w:rPr>
        <w:t>e.s</w:t>
      </w:r>
      <w:proofErr w:type="gramEnd"/>
      <w:r w:rsidRPr="71D30AF0">
        <w:rPr>
          <w:rFonts w:eastAsia="Lora" w:cs="Lora"/>
          <w:color w:val="000000" w:themeColor="text1"/>
          <w:szCs w:val="20"/>
        </w:rPr>
        <w:t xml:space="preserve"> à profiter de cet avantage et à participer activement à nos efforts de développement durable.</w:t>
      </w:r>
    </w:p>
    <w:p w14:paraId="59FD872D" w14:textId="0AE12AAE" w:rsidR="17B6756C" w:rsidRDefault="17B6756C" w:rsidP="71D30AF0">
      <w:pPr>
        <w:pStyle w:val="Titre1"/>
      </w:pPr>
      <w:bookmarkStart w:id="58" w:name="_Toc1786610458"/>
      <w:bookmarkStart w:id="59" w:name="_Toc223443552"/>
      <w:r w:rsidRPr="71D30AF0">
        <w:t xml:space="preserve">8| </w:t>
      </w:r>
      <w:r w:rsidR="483C7E65" w:rsidRPr="71D30AF0">
        <w:t>Processus d’évaluation</w:t>
      </w:r>
      <w:bookmarkEnd w:id="58"/>
      <w:bookmarkEnd w:id="59"/>
    </w:p>
    <w:p w14:paraId="4497C3E8" w14:textId="63BDE29B" w:rsidR="483C7E65" w:rsidRDefault="483C7E65" w:rsidP="71D30AF0">
      <w:pPr>
        <w:pStyle w:val="Titre2"/>
        <w:rPr>
          <w:rFonts w:ascii="Rockwell" w:eastAsia="Rockwell" w:hAnsi="Rockwell" w:cs="Rockwell"/>
          <w:b w:val="0"/>
          <w:color w:val="003A60"/>
          <w:sz w:val="26"/>
          <w:szCs w:val="26"/>
        </w:rPr>
      </w:pPr>
      <w:bookmarkStart w:id="60" w:name="_Toc1689604792"/>
      <w:bookmarkStart w:id="61" w:name="_Toc223443553"/>
      <w:r w:rsidRPr="71D30AF0">
        <w:t xml:space="preserve">Évaluation </w:t>
      </w:r>
      <w:proofErr w:type="gramStart"/>
      <w:r w:rsidRPr="71D30AF0">
        <w:t>des employé</w:t>
      </w:r>
      <w:proofErr w:type="gramEnd"/>
      <w:r w:rsidRPr="71D30AF0">
        <w:t>.</w:t>
      </w:r>
      <w:proofErr w:type="gramStart"/>
      <w:r w:rsidRPr="71D30AF0">
        <w:t>e.s</w:t>
      </w:r>
      <w:proofErr w:type="gramEnd"/>
      <w:r w:rsidRPr="71D30AF0">
        <w:t xml:space="preserve"> :</w:t>
      </w:r>
      <w:bookmarkEnd w:id="60"/>
      <w:bookmarkEnd w:id="61"/>
    </w:p>
    <w:p w14:paraId="5516C9C1" w14:textId="2CDE7A4E" w:rsidR="483C7E65" w:rsidRDefault="483C7E65" w:rsidP="71D30AF0">
      <w:pPr>
        <w:jc w:val="both"/>
        <w:rPr>
          <w:rFonts w:ascii="Calibri" w:eastAsia="Calibri" w:hAnsi="Calibri" w:cs="Calibri"/>
          <w:color w:val="000000" w:themeColor="text1"/>
          <w:szCs w:val="20"/>
        </w:rPr>
      </w:pPr>
      <w:r w:rsidRPr="71D30AF0">
        <w:t xml:space="preserve">La fondation favorise la mise en place d’un processus d’évaluation annuelle sous forme d’espace d’échange entre la personne employée et la personne de la direction chargée de sa supervision directe. </w:t>
      </w:r>
    </w:p>
    <w:p w14:paraId="1ACACD9F" w14:textId="2231D06D" w:rsidR="71D30AF0" w:rsidRDefault="71D30AF0" w:rsidP="71D30AF0">
      <w:pPr>
        <w:jc w:val="both"/>
      </w:pPr>
    </w:p>
    <w:p w14:paraId="20779BC6" w14:textId="00094E22" w:rsidR="483C7E65" w:rsidRDefault="483C7E65" w:rsidP="71D30AF0">
      <w:pPr>
        <w:jc w:val="both"/>
        <w:rPr>
          <w:rFonts w:ascii="Calibri" w:eastAsia="Calibri" w:hAnsi="Calibri" w:cs="Calibri"/>
          <w:color w:val="000000" w:themeColor="text1"/>
          <w:szCs w:val="20"/>
        </w:rPr>
      </w:pPr>
      <w:r w:rsidRPr="71D30AF0">
        <w:t>Ce moment permet d’ouvrir un dialogue sur les réalisations, les défis, les besoins, le savoir, le savoir-être et le savoir-faire relatif à son poste et pleine réalisation de ses tâches. Ce moment permet également de cibler les éléments à prioriser pour l’année à venir et/ou ceux à travailler.</w:t>
      </w:r>
    </w:p>
    <w:p w14:paraId="5273E9BF" w14:textId="2C4D6140" w:rsidR="71D30AF0" w:rsidRDefault="71D30AF0" w:rsidP="71D30AF0">
      <w:pPr>
        <w:jc w:val="both"/>
      </w:pPr>
    </w:p>
    <w:p w14:paraId="641E950D" w14:textId="3DB690DA" w:rsidR="483C7E65" w:rsidRDefault="483C7E65" w:rsidP="71D30AF0">
      <w:pPr>
        <w:jc w:val="both"/>
        <w:rPr>
          <w:rFonts w:ascii="Calibri" w:eastAsia="Calibri" w:hAnsi="Calibri" w:cs="Calibri"/>
          <w:color w:val="000000" w:themeColor="text1"/>
          <w:szCs w:val="20"/>
        </w:rPr>
      </w:pPr>
      <w:r w:rsidRPr="71D30AF0">
        <w:t xml:space="preserve">Ce processus s’inscrit dans le cadre d’une organisation apprenante, d’un souci de plein déploiement de l’équipe et de saines relations de travail.   Il est proposé par la Direction Générale, et s’applique à toutes les personnes employées. </w:t>
      </w:r>
    </w:p>
    <w:p w14:paraId="447E5020" w14:textId="37C0FE6F" w:rsidR="71D30AF0" w:rsidRDefault="71D30AF0" w:rsidP="71D30AF0">
      <w:pPr>
        <w:jc w:val="both"/>
      </w:pPr>
    </w:p>
    <w:p w14:paraId="45426E75" w14:textId="3714C634" w:rsidR="483C7E65" w:rsidRDefault="483C7E65" w:rsidP="71D30AF0">
      <w:pPr>
        <w:jc w:val="both"/>
        <w:rPr>
          <w:rFonts w:ascii="Calibri" w:eastAsia="Calibri" w:hAnsi="Calibri" w:cs="Calibri"/>
          <w:color w:val="000000" w:themeColor="text1"/>
          <w:szCs w:val="20"/>
        </w:rPr>
      </w:pPr>
      <w:r w:rsidRPr="71D30AF0">
        <w:lastRenderedPageBreak/>
        <w:t>Des documents pour la préparation de cette rencontre seront remis aux parties concernées un (1) mois à l’avance.</w:t>
      </w:r>
    </w:p>
    <w:p w14:paraId="6C3FC837" w14:textId="1AFB2BAA" w:rsidR="483C7E65" w:rsidRDefault="483C7E65" w:rsidP="71D30AF0">
      <w:pPr>
        <w:pStyle w:val="Titre2"/>
        <w:rPr>
          <w:rFonts w:ascii="Rockwell" w:eastAsia="Rockwell" w:hAnsi="Rockwell" w:cs="Rockwell"/>
          <w:b w:val="0"/>
          <w:color w:val="003A60"/>
          <w:sz w:val="26"/>
          <w:szCs w:val="26"/>
        </w:rPr>
      </w:pPr>
      <w:bookmarkStart w:id="62" w:name="_Toc538411547"/>
      <w:bookmarkStart w:id="63" w:name="_Toc223443554"/>
      <w:r w:rsidRPr="71D30AF0">
        <w:t>Évaluation de la direction générale :</w:t>
      </w:r>
      <w:bookmarkEnd w:id="62"/>
      <w:bookmarkEnd w:id="63"/>
      <w:r w:rsidRPr="71D30AF0">
        <w:t xml:space="preserve"> </w:t>
      </w:r>
    </w:p>
    <w:p w14:paraId="55B4824A" w14:textId="20714613" w:rsidR="483C7E65" w:rsidRDefault="483C7E65" w:rsidP="71D30AF0">
      <w:pPr>
        <w:jc w:val="both"/>
        <w:rPr>
          <w:rFonts w:ascii="Calibri" w:eastAsia="Calibri" w:hAnsi="Calibri" w:cs="Calibri"/>
          <w:color w:val="000000" w:themeColor="text1"/>
          <w:szCs w:val="20"/>
        </w:rPr>
      </w:pPr>
      <w:r w:rsidRPr="71D30AF0">
        <w:t>La Fondation favorise la mise en place d’un processus d’évaluation annuelle sous forme d’espace d’échange entre la direction générale et deux (2) membres du conseil d’administration. Ce moment permet d’ouvrir un dialogue sur les réalisations, les défis, les besoins, le savoir, le savoir-être et le savoir-faire relatif à son poste et pleine réalisation de ses tâches. Cet échange permet également de cibler les éléments à prioriser pour l’année à venir et/ou ceux à travailler.</w:t>
      </w:r>
    </w:p>
    <w:p w14:paraId="51A27614" w14:textId="5DFBED07" w:rsidR="71D30AF0" w:rsidRDefault="71D30AF0" w:rsidP="71D30AF0">
      <w:pPr>
        <w:jc w:val="both"/>
      </w:pPr>
    </w:p>
    <w:p w14:paraId="754932AE" w14:textId="6F9D2240" w:rsidR="483C7E65" w:rsidRDefault="483C7E65" w:rsidP="71D30AF0">
      <w:pPr>
        <w:jc w:val="both"/>
        <w:rPr>
          <w:rFonts w:ascii="Calibri" w:eastAsia="Calibri" w:hAnsi="Calibri" w:cs="Calibri"/>
          <w:color w:val="000000" w:themeColor="text1"/>
          <w:szCs w:val="20"/>
        </w:rPr>
      </w:pPr>
      <w:r w:rsidRPr="71D30AF0">
        <w:t>Ce processus s’inscrit dans le cadre d’une organisation apprenante, d’un souci de plein déploiement de l’équipe et de saines relations de travail.  Des documents pour la préparation de cette rencontre seront remis aux parties concernées un (1) mois à l’avance.</w:t>
      </w:r>
    </w:p>
    <w:p w14:paraId="1F250174" w14:textId="5EFD4A49" w:rsidR="1BEF87D2" w:rsidRDefault="1BEF87D2" w:rsidP="71D30AF0">
      <w:pPr>
        <w:pStyle w:val="Titre1"/>
        <w:rPr>
          <w:rFonts w:ascii="Rockwell" w:eastAsia="Rockwell" w:hAnsi="Rockwell" w:cs="Rockwell"/>
          <w:bCs/>
          <w:color w:val="003A60"/>
          <w:sz w:val="36"/>
          <w:szCs w:val="36"/>
        </w:rPr>
      </w:pPr>
      <w:bookmarkStart w:id="64" w:name="_Toc502288756"/>
      <w:bookmarkStart w:id="65" w:name="_Toc223443555"/>
      <w:r w:rsidRPr="71D30AF0">
        <w:t xml:space="preserve">9| </w:t>
      </w:r>
      <w:r w:rsidR="483C7E65" w:rsidRPr="71D30AF0">
        <w:t>Processus d’augmentation</w:t>
      </w:r>
      <w:bookmarkEnd w:id="64"/>
      <w:bookmarkEnd w:id="65"/>
    </w:p>
    <w:p w14:paraId="49379496" w14:textId="3BAB31FD" w:rsidR="483C7E65" w:rsidRDefault="483C7E65" w:rsidP="71D30AF0">
      <w:pPr>
        <w:jc w:val="both"/>
        <w:rPr>
          <w:rFonts w:ascii="Calibri" w:eastAsia="Calibri" w:hAnsi="Calibri" w:cs="Calibri"/>
          <w:color w:val="000000" w:themeColor="text1"/>
          <w:szCs w:val="20"/>
        </w:rPr>
      </w:pPr>
      <w:r w:rsidRPr="71D30AF0">
        <w:t>La Fondation Béati veille à l’indexation de sa politique salariale annuellement selon l’indice des prix à la consommation fédéral au 1er septembre, selon les capacités financières de l’organisation.</w:t>
      </w:r>
    </w:p>
    <w:p w14:paraId="278073FA" w14:textId="0F080109" w:rsidR="71D30AF0" w:rsidRDefault="71D30AF0" w:rsidP="71D30AF0">
      <w:pPr>
        <w:jc w:val="both"/>
      </w:pPr>
    </w:p>
    <w:p w14:paraId="601BA378" w14:textId="561EEF99" w:rsidR="483C7E65" w:rsidRDefault="483C7E65" w:rsidP="71D30AF0">
      <w:pPr>
        <w:jc w:val="both"/>
        <w:rPr>
          <w:rFonts w:ascii="Calibri" w:eastAsia="Calibri" w:hAnsi="Calibri" w:cs="Calibri"/>
          <w:color w:val="000000" w:themeColor="text1"/>
          <w:szCs w:val="20"/>
        </w:rPr>
      </w:pPr>
      <w:r w:rsidRPr="71D30AF0">
        <w:t>L’échelle salariale est révisée au minimum aux cinq (5) ans, lors de la révision complète de la Politique de condition de travail.</w:t>
      </w:r>
    </w:p>
    <w:p w14:paraId="1E698C54" w14:textId="327B3C48" w:rsidR="71D30AF0" w:rsidRDefault="71D30AF0" w:rsidP="71D30AF0">
      <w:pPr>
        <w:jc w:val="both"/>
      </w:pPr>
    </w:p>
    <w:p w14:paraId="451360BD" w14:textId="2BCC363E" w:rsidR="483C7E65" w:rsidRDefault="483C7E65" w:rsidP="71D30AF0">
      <w:pPr>
        <w:jc w:val="both"/>
      </w:pPr>
      <w:r w:rsidRPr="71D30AF0">
        <w:t>La personne employée régulière obtient une première augmentation à la suite de sa période de probation (6 mois). Pour les augmentations subséquentes, elles se font</w:t>
      </w:r>
      <w:r w:rsidR="4C95FB15" w:rsidRPr="71D30AF0">
        <w:t xml:space="preserve"> annuellement, selon</w:t>
      </w:r>
      <w:r w:rsidRPr="71D30AF0">
        <w:t xml:space="preserve"> la date d’embauche. </w:t>
      </w:r>
    </w:p>
    <w:p w14:paraId="1659B2A0" w14:textId="2DF3E0AB" w:rsidR="7DEBC7FA" w:rsidRDefault="7DEBC7FA" w:rsidP="71D30AF0">
      <w:pPr>
        <w:pStyle w:val="Titre1"/>
      </w:pPr>
      <w:bookmarkStart w:id="66" w:name="_Toc1130694456"/>
      <w:bookmarkStart w:id="67" w:name="_Toc223443556"/>
      <w:r w:rsidRPr="71D30AF0">
        <w:t xml:space="preserve">10| </w:t>
      </w:r>
      <w:r w:rsidR="483C7E65" w:rsidRPr="71D30AF0">
        <w:t>Application de la grille salariale</w:t>
      </w:r>
      <w:bookmarkEnd w:id="66"/>
      <w:bookmarkEnd w:id="67"/>
    </w:p>
    <w:p w14:paraId="4CFF77ED" w14:textId="19C2229B" w:rsidR="483C7E65" w:rsidRDefault="483C7E65" w:rsidP="71D30AF0">
      <w:pPr>
        <w:pStyle w:val="Titre2"/>
        <w:rPr>
          <w:rFonts w:ascii="Rockwell" w:eastAsia="Rockwell" w:hAnsi="Rockwell" w:cs="Rockwell"/>
          <w:bCs/>
          <w:color w:val="287FA5"/>
          <w:szCs w:val="28"/>
        </w:rPr>
      </w:pPr>
      <w:bookmarkStart w:id="68" w:name="_Toc524412138"/>
      <w:bookmarkStart w:id="69" w:name="_Toc223443557"/>
      <w:r w:rsidRPr="71D30AF0">
        <w:t>Détermination de l’échelon à l’embauche</w:t>
      </w:r>
      <w:bookmarkEnd w:id="68"/>
      <w:bookmarkEnd w:id="69"/>
      <w:r w:rsidRPr="71D30AF0">
        <w:t> </w:t>
      </w:r>
    </w:p>
    <w:p w14:paraId="3ADB8DAC" w14:textId="7160373D"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À son embauche, la nouvelle personne salariée est rémunérée selon l’échelon qui lui a été attribué. L’échelon 1 équivaut au salaire de base offert selon les compétences minimales requises comme stipulé dans l’offre d’emploi.  Le ou la </w:t>
      </w:r>
      <w:proofErr w:type="gramStart"/>
      <w:r w:rsidRPr="71D30AF0">
        <w:rPr>
          <w:rFonts w:eastAsia="Lora" w:cs="Lora"/>
          <w:color w:val="000000" w:themeColor="text1"/>
          <w:szCs w:val="20"/>
        </w:rPr>
        <w:t>candidat.e</w:t>
      </w:r>
      <w:proofErr w:type="gramEnd"/>
      <w:r w:rsidRPr="71D30AF0">
        <w:rPr>
          <w:rFonts w:eastAsia="Lora" w:cs="Lora"/>
          <w:color w:val="000000" w:themeColor="text1"/>
          <w:szCs w:val="20"/>
        </w:rPr>
        <w:t xml:space="preserve"> pourrait être </w:t>
      </w:r>
      <w:proofErr w:type="gramStart"/>
      <w:r w:rsidRPr="71D30AF0">
        <w:rPr>
          <w:rFonts w:eastAsia="Lora" w:cs="Lora"/>
          <w:color w:val="000000" w:themeColor="text1"/>
          <w:szCs w:val="20"/>
        </w:rPr>
        <w:t>classé.e</w:t>
      </w:r>
      <w:proofErr w:type="gramEnd"/>
      <w:r w:rsidRPr="71D30AF0">
        <w:rPr>
          <w:rFonts w:eastAsia="Lora" w:cs="Lora"/>
          <w:color w:val="000000" w:themeColor="text1"/>
          <w:szCs w:val="20"/>
        </w:rPr>
        <w:t xml:space="preserve"> dans les échelons supérieurs selon son niveau d’expérience et ses compétences. </w:t>
      </w:r>
    </w:p>
    <w:p w14:paraId="10C12075" w14:textId="35357037" w:rsidR="483C7E65" w:rsidRDefault="483C7E65" w:rsidP="71D30AF0">
      <w:pPr>
        <w:pStyle w:val="Titre2"/>
        <w:rPr>
          <w:rFonts w:ascii="Rockwell" w:eastAsia="Rockwell" w:hAnsi="Rockwell" w:cs="Rockwell"/>
          <w:bCs/>
          <w:color w:val="287FA5"/>
          <w:szCs w:val="28"/>
        </w:rPr>
      </w:pPr>
      <w:bookmarkStart w:id="70" w:name="_Toc381774992"/>
      <w:bookmarkStart w:id="71" w:name="_Toc223443558"/>
      <w:r w:rsidRPr="71D30AF0">
        <w:t>Changement d’échelon et augmentation de salaire (reconnaissance de l’ancienneté).</w:t>
      </w:r>
      <w:bookmarkEnd w:id="70"/>
      <w:bookmarkEnd w:id="71"/>
      <w:r w:rsidRPr="71D30AF0">
        <w:t> </w:t>
      </w:r>
    </w:p>
    <w:p w14:paraId="5024B1A9" w14:textId="3A2AFF77"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À la suite de son embauche, la nouvelle personne salariée de la Fondation pourra gravir des échelons à partir de six (6) mois, puis chaque année. Les changements d’échelon se font à </w:t>
      </w:r>
      <w:r w:rsidRPr="71D30AF0">
        <w:rPr>
          <w:rFonts w:eastAsia="Lora" w:cs="Lora"/>
          <w:color w:val="000000" w:themeColor="text1"/>
          <w:szCs w:val="20"/>
        </w:rPr>
        <w:lastRenderedPageBreak/>
        <w:t xml:space="preserve">l’intérieur des échelles d’équité discutées en conseil des conditions et relations de travail. Ils sont encadrés de cette façon : </w:t>
      </w:r>
    </w:p>
    <w:p w14:paraId="6487A060" w14:textId="408CB59B" w:rsidR="71D30AF0" w:rsidRDefault="71D30AF0" w:rsidP="71D30AF0">
      <w:pPr>
        <w:jc w:val="both"/>
        <w:rPr>
          <w:rFonts w:eastAsia="Lora" w:cs="Lora"/>
          <w:color w:val="000000" w:themeColor="text1"/>
          <w:szCs w:val="20"/>
        </w:rPr>
      </w:pPr>
    </w:p>
    <w:p w14:paraId="08A1C71E" w14:textId="5002B5DA" w:rsidR="44D4187C" w:rsidRDefault="44D4187C" w:rsidP="71D30AF0">
      <w:pPr>
        <w:pStyle w:val="Paragraphedeliste"/>
        <w:numPr>
          <w:ilvl w:val="0"/>
          <w:numId w:val="2"/>
        </w:numPr>
        <w:jc w:val="both"/>
        <w:rPr>
          <w:rFonts w:eastAsia="Lora" w:cs="Lora"/>
          <w:color w:val="31595C" w:themeColor="accent1"/>
          <w:szCs w:val="20"/>
        </w:rPr>
      </w:pPr>
      <w:r w:rsidRPr="71D30AF0">
        <w:rPr>
          <w:rFonts w:eastAsia="Lora" w:cs="Lora"/>
          <w:color w:val="31595C" w:themeColor="accent1"/>
          <w:szCs w:val="20"/>
        </w:rPr>
        <w:t>Chaque année, les personnes employées augmentent d’au minimum 1 échelon.</w:t>
      </w:r>
    </w:p>
    <w:p w14:paraId="6091878F" w14:textId="5BB4449C" w:rsidR="44D4187C" w:rsidRDefault="44D4187C" w:rsidP="71D30AF0">
      <w:pPr>
        <w:pStyle w:val="Paragraphedeliste"/>
        <w:numPr>
          <w:ilvl w:val="0"/>
          <w:numId w:val="2"/>
        </w:numPr>
        <w:jc w:val="both"/>
        <w:rPr>
          <w:rFonts w:eastAsia="Lora" w:cs="Lora"/>
          <w:color w:val="31595C" w:themeColor="accent1"/>
          <w:szCs w:val="20"/>
        </w:rPr>
      </w:pPr>
      <w:r w:rsidRPr="71D30AF0">
        <w:rPr>
          <w:rFonts w:eastAsia="Lora" w:cs="Lora"/>
          <w:color w:val="31595C" w:themeColor="accent1"/>
          <w:szCs w:val="20"/>
        </w:rPr>
        <w:t xml:space="preserve">La direction générale peut décider d’augmenter de plus d’un (1) échelon, et doit pour ce faire déposer une proposition augmentée au comité des conditions et relations de travail. </w:t>
      </w:r>
    </w:p>
    <w:p w14:paraId="7FF4AE3E" w14:textId="6A6CF587" w:rsidR="44D4187C" w:rsidRDefault="44D4187C" w:rsidP="71D30AF0">
      <w:pPr>
        <w:pStyle w:val="Paragraphedeliste"/>
        <w:numPr>
          <w:ilvl w:val="0"/>
          <w:numId w:val="2"/>
        </w:numPr>
        <w:jc w:val="both"/>
        <w:rPr>
          <w:rFonts w:eastAsia="Lora" w:cs="Lora"/>
          <w:color w:val="31595C" w:themeColor="accent1"/>
          <w:szCs w:val="20"/>
        </w:rPr>
      </w:pPr>
      <w:r w:rsidRPr="71D30AF0">
        <w:rPr>
          <w:rFonts w:eastAsia="Lora" w:cs="Lora"/>
          <w:color w:val="31595C" w:themeColor="accent1"/>
          <w:szCs w:val="20"/>
        </w:rPr>
        <w:t xml:space="preserve">Les personnes employées peuvent déposer une demande de réévaluation de leur échelon, si un enjeu d’équité semble se présenter. </w:t>
      </w:r>
    </w:p>
    <w:p w14:paraId="6DCC4BFA" w14:textId="37669B42" w:rsidR="71D30AF0" w:rsidRDefault="71D30AF0" w:rsidP="71D30AF0">
      <w:pPr>
        <w:jc w:val="both"/>
        <w:rPr>
          <w:rFonts w:eastAsia="Lora" w:cs="Lora"/>
          <w:color w:val="000000" w:themeColor="text1"/>
          <w:szCs w:val="20"/>
        </w:rPr>
      </w:pPr>
    </w:p>
    <w:p w14:paraId="00C2464C" w14:textId="1E01D2BC" w:rsidR="483C7E65" w:rsidRDefault="483C7E65" w:rsidP="71D30AF0">
      <w:pPr>
        <w:jc w:val="both"/>
        <w:rPr>
          <w:rFonts w:eastAsia="Lora" w:cs="Lora"/>
          <w:color w:val="000000" w:themeColor="text1"/>
          <w:szCs w:val="20"/>
        </w:rPr>
      </w:pPr>
      <w:r w:rsidRPr="71D30AF0">
        <w:rPr>
          <w:rFonts w:eastAsia="Lora" w:cs="Lora"/>
          <w:color w:val="000000" w:themeColor="text1"/>
          <w:szCs w:val="20"/>
        </w:rPr>
        <w:t>Lorsque la personne atteint le maximum de son échelle, l’ajustement annuel se fera sur la base de l’</w:t>
      </w:r>
      <w:r w:rsidRPr="71D30AF0">
        <w:rPr>
          <w:rFonts w:eastAsia="Lora" w:cs="Lora"/>
          <w:i/>
          <w:iCs/>
          <w:color w:val="000000" w:themeColor="text1"/>
          <w:szCs w:val="20"/>
        </w:rPr>
        <w:t>Indice des prix à la consommation fédéral</w:t>
      </w:r>
      <w:r w:rsidRPr="71D30AF0">
        <w:rPr>
          <w:rFonts w:eastAsia="Lora" w:cs="Lora"/>
          <w:color w:val="000000" w:themeColor="text1"/>
          <w:szCs w:val="20"/>
        </w:rPr>
        <w:t>. </w:t>
      </w:r>
    </w:p>
    <w:p w14:paraId="6D99B070" w14:textId="1CEBF33C" w:rsidR="483C7E65" w:rsidRDefault="483C7E65" w:rsidP="71D30AF0">
      <w:pPr>
        <w:pStyle w:val="Titre2"/>
        <w:rPr>
          <w:rFonts w:ascii="Rockwell" w:eastAsia="Rockwell" w:hAnsi="Rockwell" w:cs="Rockwell"/>
          <w:bCs/>
          <w:color w:val="287FA5"/>
          <w:szCs w:val="28"/>
        </w:rPr>
      </w:pPr>
      <w:bookmarkStart w:id="72" w:name="_Toc1381685918"/>
      <w:bookmarkStart w:id="73" w:name="_Toc223443559"/>
      <w:r w:rsidRPr="71D30AF0">
        <w:t>Reconnaissance des compétences transversales</w:t>
      </w:r>
      <w:bookmarkEnd w:id="72"/>
      <w:bookmarkEnd w:id="73"/>
    </w:p>
    <w:p w14:paraId="051A5BF6" w14:textId="6FA46631"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En complément du système d’échelons, la Fondation reconnaît que </w:t>
      </w:r>
      <w:proofErr w:type="gramStart"/>
      <w:r w:rsidRPr="71D30AF0">
        <w:rPr>
          <w:rFonts w:eastAsia="Lora" w:cs="Lora"/>
          <w:color w:val="000000" w:themeColor="text1"/>
          <w:szCs w:val="20"/>
        </w:rPr>
        <w:t>les employé</w:t>
      </w:r>
      <w:proofErr w:type="gramEnd"/>
      <w:r w:rsidRPr="71D30AF0">
        <w:rPr>
          <w:rFonts w:eastAsia="Lora" w:cs="Lora"/>
          <w:color w:val="000000" w:themeColor="text1"/>
          <w:szCs w:val="20"/>
        </w:rPr>
        <w:t>.</w:t>
      </w:r>
      <w:proofErr w:type="gramStart"/>
      <w:r w:rsidRPr="71D30AF0">
        <w:rPr>
          <w:rFonts w:eastAsia="Lora" w:cs="Lora"/>
          <w:color w:val="000000" w:themeColor="text1"/>
          <w:szCs w:val="20"/>
        </w:rPr>
        <w:t>e.s</w:t>
      </w:r>
      <w:proofErr w:type="gramEnd"/>
      <w:r w:rsidRPr="71D30AF0">
        <w:rPr>
          <w:rFonts w:eastAsia="Lora" w:cs="Lora"/>
          <w:color w:val="000000" w:themeColor="text1"/>
          <w:szCs w:val="20"/>
        </w:rPr>
        <w:t xml:space="preserve"> développent des compétences transversales qui contribuent à l’amélioration de l’organisation et au renforcement de la mission. Ainsi, une progression salariale accélérée peut être accordée en fonction des critères suivants :</w:t>
      </w:r>
    </w:p>
    <w:p w14:paraId="42E9140C" w14:textId="4EF72536" w:rsidR="483C7E65" w:rsidRDefault="483C7E65" w:rsidP="71D30AF0">
      <w:pPr>
        <w:pStyle w:val="Paragraphedeliste"/>
        <w:numPr>
          <w:ilvl w:val="0"/>
          <w:numId w:val="1"/>
        </w:numPr>
        <w:spacing w:before="240" w:after="400"/>
        <w:jc w:val="both"/>
        <w:rPr>
          <w:rFonts w:eastAsia="Lora" w:cs="Lora"/>
          <w:color w:val="31595C" w:themeColor="accent1"/>
          <w:szCs w:val="20"/>
        </w:rPr>
      </w:pPr>
      <w:r w:rsidRPr="71D30AF0">
        <w:rPr>
          <w:rFonts w:eastAsia="Lora" w:cs="Lora"/>
          <w:color w:val="31595C" w:themeColor="accent1"/>
          <w:szCs w:val="20"/>
        </w:rPr>
        <w:t>Engagement dans des rôles de leadership informel (ex. mentorat des nouvelles recrues, animation d’espaces collaboratifs).</w:t>
      </w:r>
    </w:p>
    <w:p w14:paraId="3B5790F8" w14:textId="03DAC977" w:rsidR="483C7E65" w:rsidRDefault="483C7E65" w:rsidP="71D30AF0">
      <w:pPr>
        <w:pStyle w:val="Paragraphedeliste"/>
        <w:numPr>
          <w:ilvl w:val="0"/>
          <w:numId w:val="1"/>
        </w:numPr>
        <w:spacing w:before="240" w:after="400"/>
        <w:jc w:val="both"/>
        <w:rPr>
          <w:rFonts w:eastAsia="Lora" w:cs="Lora"/>
          <w:color w:val="31595C" w:themeColor="accent1"/>
          <w:szCs w:val="20"/>
        </w:rPr>
      </w:pPr>
      <w:r w:rsidRPr="71D30AF0">
        <w:rPr>
          <w:rFonts w:eastAsia="Lora" w:cs="Lora"/>
          <w:color w:val="31595C" w:themeColor="accent1"/>
          <w:szCs w:val="20"/>
        </w:rPr>
        <w:t>Contribution significative à l’amélioration des pratiques organisationnelles.</w:t>
      </w:r>
    </w:p>
    <w:p w14:paraId="36F69E11" w14:textId="6ACE658B" w:rsidR="483C7E65" w:rsidRDefault="483C7E65" w:rsidP="71D30AF0">
      <w:pPr>
        <w:pStyle w:val="Paragraphedeliste"/>
        <w:numPr>
          <w:ilvl w:val="0"/>
          <w:numId w:val="1"/>
        </w:numPr>
        <w:spacing w:before="240" w:after="400"/>
        <w:jc w:val="both"/>
        <w:rPr>
          <w:rFonts w:eastAsia="Lora" w:cs="Lora"/>
          <w:color w:val="31595C" w:themeColor="accent1"/>
          <w:szCs w:val="20"/>
        </w:rPr>
      </w:pPr>
      <w:r w:rsidRPr="71D30AF0">
        <w:rPr>
          <w:rFonts w:eastAsia="Lora" w:cs="Lora"/>
          <w:color w:val="31595C" w:themeColor="accent1"/>
          <w:szCs w:val="20"/>
        </w:rPr>
        <w:t>Développement et mise en place de projets innovants pour la Fondation.</w:t>
      </w:r>
    </w:p>
    <w:p w14:paraId="6669AB34" w14:textId="4F3B1327" w:rsidR="470B2356" w:rsidRDefault="470B2356" w:rsidP="71D30AF0">
      <w:pPr>
        <w:pStyle w:val="Titre1"/>
      </w:pPr>
      <w:bookmarkStart w:id="74" w:name="_Toc1865504548"/>
      <w:bookmarkStart w:id="75" w:name="_Toc223443560"/>
      <w:r w:rsidRPr="71D30AF0">
        <w:t xml:space="preserve">11| </w:t>
      </w:r>
      <w:r w:rsidR="483C7E65" w:rsidRPr="71D30AF0">
        <w:t>Contrat de travail</w:t>
      </w:r>
      <w:bookmarkEnd w:id="74"/>
      <w:bookmarkEnd w:id="75"/>
      <w:r w:rsidR="483C7E65" w:rsidRPr="71D30AF0">
        <w:t xml:space="preserve"> </w:t>
      </w:r>
    </w:p>
    <w:p w14:paraId="7E2BA5BD" w14:textId="6E72BB24" w:rsidR="483C7E65" w:rsidRDefault="483C7E65" w:rsidP="71D30AF0">
      <w:pPr>
        <w:rPr>
          <w:rFonts w:ascii="Calibri" w:eastAsia="Calibri" w:hAnsi="Calibri" w:cs="Calibri"/>
          <w:color w:val="000000" w:themeColor="text1"/>
          <w:szCs w:val="20"/>
        </w:rPr>
      </w:pPr>
      <w:r w:rsidRPr="71D30AF0">
        <w:t>Un contrat de travail sera signé pour les personnes employées permanentes, temporaires et contractuelles. </w:t>
      </w:r>
    </w:p>
    <w:p w14:paraId="5BAA2C65" w14:textId="1B732832" w:rsidR="580303B0" w:rsidRDefault="580303B0" w:rsidP="71D30AF0">
      <w:pPr>
        <w:pStyle w:val="Titre1"/>
      </w:pPr>
      <w:bookmarkStart w:id="76" w:name="_Toc1075897391"/>
      <w:bookmarkStart w:id="77" w:name="_Toc223443561"/>
      <w:r w:rsidRPr="71D30AF0">
        <w:t xml:space="preserve">12| </w:t>
      </w:r>
      <w:r w:rsidR="483C7E65" w:rsidRPr="71D30AF0">
        <w:t>Rupture du lien d’emploi</w:t>
      </w:r>
      <w:bookmarkEnd w:id="76"/>
      <w:bookmarkEnd w:id="77"/>
    </w:p>
    <w:p w14:paraId="695655D7" w14:textId="423C069A" w:rsidR="483C7E65" w:rsidRDefault="483C7E65" w:rsidP="71D30AF0">
      <w:pPr>
        <w:pStyle w:val="Titre2"/>
        <w:rPr>
          <w:rFonts w:ascii="Rockwell" w:eastAsia="Rockwell" w:hAnsi="Rockwell" w:cs="Rockwell"/>
          <w:bCs/>
          <w:color w:val="287EA4"/>
          <w:szCs w:val="28"/>
        </w:rPr>
      </w:pPr>
      <w:bookmarkStart w:id="78" w:name="_Toc1146984029"/>
      <w:bookmarkStart w:id="79" w:name="_Toc223443562"/>
      <w:r w:rsidRPr="71D30AF0">
        <w:t>Définitions</w:t>
      </w:r>
      <w:bookmarkEnd w:id="78"/>
      <w:bookmarkEnd w:id="79"/>
      <w:r w:rsidRPr="71D30AF0">
        <w:t xml:space="preserve"> </w:t>
      </w:r>
    </w:p>
    <w:p w14:paraId="5582ADE1" w14:textId="69D15ED3" w:rsidR="483C7E65" w:rsidRDefault="483C7E65" w:rsidP="71D30AF0">
      <w:pPr>
        <w:keepNext/>
        <w:keepLines/>
        <w:spacing w:before="40"/>
        <w:jc w:val="both"/>
        <w:rPr>
          <w:rFonts w:ascii="Verdana" w:eastAsia="Verdana" w:hAnsi="Verdana" w:cs="Verdana"/>
          <w:b/>
          <w:bCs/>
          <w:color w:val="003A60"/>
          <w:sz w:val="22"/>
          <w:szCs w:val="22"/>
        </w:rPr>
      </w:pPr>
      <w:r w:rsidRPr="71D30AF0">
        <w:rPr>
          <w:rStyle w:val="Accentuationlgre"/>
        </w:rPr>
        <w:t>La démission  </w:t>
      </w:r>
    </w:p>
    <w:p w14:paraId="007B59BE" w14:textId="6C80DF1A" w:rsidR="483C7E65" w:rsidRDefault="483C7E65" w:rsidP="71D30AF0">
      <w:pPr>
        <w:jc w:val="both"/>
        <w:rPr>
          <w:rFonts w:ascii="Calibri" w:eastAsia="Calibri" w:hAnsi="Calibri" w:cs="Calibri"/>
          <w:color w:val="000000" w:themeColor="text1"/>
          <w:szCs w:val="20"/>
        </w:rPr>
      </w:pPr>
      <w:r w:rsidRPr="71D30AF0">
        <w:t>La démission constitue un acte par lequel une personne employée renonce volontairement à une fonction ou à un mandat.</w:t>
      </w:r>
    </w:p>
    <w:p w14:paraId="7D7407E1" w14:textId="67377DDC" w:rsidR="483C7E65" w:rsidRDefault="483C7E65" w:rsidP="71D30AF0">
      <w:pPr>
        <w:keepNext/>
        <w:keepLines/>
        <w:spacing w:before="40"/>
        <w:jc w:val="both"/>
        <w:rPr>
          <w:rFonts w:ascii="Verdana" w:eastAsia="Verdana" w:hAnsi="Verdana" w:cs="Verdana"/>
          <w:b/>
          <w:bCs/>
          <w:color w:val="003A60"/>
          <w:sz w:val="22"/>
          <w:szCs w:val="22"/>
        </w:rPr>
      </w:pPr>
      <w:r w:rsidRPr="71D30AF0">
        <w:rPr>
          <w:rStyle w:val="Accentuationlgre"/>
        </w:rPr>
        <w:t>Le licenciement </w:t>
      </w:r>
    </w:p>
    <w:p w14:paraId="659B2F53" w14:textId="3F3FA7D0" w:rsidR="483C7E65" w:rsidRDefault="483C7E65" w:rsidP="71D30AF0">
      <w:pPr>
        <w:jc w:val="both"/>
        <w:rPr>
          <w:rFonts w:ascii="Calibri" w:eastAsia="Calibri" w:hAnsi="Calibri" w:cs="Calibri"/>
          <w:color w:val="000000" w:themeColor="text1"/>
          <w:szCs w:val="20"/>
        </w:rPr>
      </w:pPr>
      <w:r w:rsidRPr="71D30AF0">
        <w:t>Le licenciement est une rupture définitive du lien d’emploi résultant de motifs administratifs, telles une restructuration ou une abolition de poste. </w:t>
      </w:r>
    </w:p>
    <w:p w14:paraId="39F3ED62" w14:textId="513DD115" w:rsidR="483C7E65" w:rsidRDefault="483C7E65" w:rsidP="71D30AF0">
      <w:pPr>
        <w:keepNext/>
        <w:keepLines/>
        <w:spacing w:before="40"/>
        <w:jc w:val="both"/>
        <w:rPr>
          <w:rFonts w:ascii="Verdana" w:eastAsia="Verdana" w:hAnsi="Verdana" w:cs="Verdana"/>
          <w:b/>
          <w:bCs/>
          <w:color w:val="003A60"/>
          <w:sz w:val="22"/>
          <w:szCs w:val="22"/>
        </w:rPr>
      </w:pPr>
      <w:r w:rsidRPr="71D30AF0">
        <w:rPr>
          <w:rStyle w:val="Accentuationlgre"/>
        </w:rPr>
        <w:t>La mise à pied </w:t>
      </w:r>
    </w:p>
    <w:p w14:paraId="1A0ACE02" w14:textId="4D25DC11" w:rsidR="483C7E65" w:rsidRDefault="483C7E65" w:rsidP="71D30AF0">
      <w:pPr>
        <w:rPr>
          <w:rFonts w:ascii="Calibri" w:eastAsia="Calibri" w:hAnsi="Calibri" w:cs="Calibri"/>
          <w:color w:val="000000" w:themeColor="text1"/>
          <w:szCs w:val="20"/>
        </w:rPr>
      </w:pPr>
      <w:r w:rsidRPr="71D30AF0">
        <w:t>La mise à pied est une rupture du lien d’emploi pour des raisons de manque de travail. </w:t>
      </w:r>
    </w:p>
    <w:p w14:paraId="64147073" w14:textId="16B72D20" w:rsidR="483C7E65" w:rsidRDefault="483C7E65" w:rsidP="71D30AF0">
      <w:pPr>
        <w:keepNext/>
        <w:keepLines/>
        <w:spacing w:before="40"/>
        <w:jc w:val="both"/>
        <w:rPr>
          <w:rFonts w:ascii="Verdana" w:eastAsia="Verdana" w:hAnsi="Verdana" w:cs="Verdana"/>
          <w:b/>
          <w:bCs/>
          <w:color w:val="003A60"/>
          <w:sz w:val="22"/>
          <w:szCs w:val="22"/>
        </w:rPr>
      </w:pPr>
      <w:r w:rsidRPr="71D30AF0">
        <w:rPr>
          <w:rStyle w:val="Accentuationlgre"/>
        </w:rPr>
        <w:lastRenderedPageBreak/>
        <w:t>Le congédiement </w:t>
      </w:r>
    </w:p>
    <w:p w14:paraId="0C1EAE7F" w14:textId="3B6F1F68" w:rsidR="483C7E65" w:rsidRDefault="483C7E65" w:rsidP="71D30AF0">
      <w:pPr>
        <w:jc w:val="both"/>
        <w:rPr>
          <w:rFonts w:ascii="Calibri" w:eastAsia="Calibri" w:hAnsi="Calibri" w:cs="Calibri"/>
          <w:color w:val="000000" w:themeColor="text1"/>
          <w:szCs w:val="20"/>
        </w:rPr>
      </w:pPr>
      <w:r w:rsidRPr="71D30AF0">
        <w:t>Le congédiement est une rupture définitive du lien d’emploi pour des motifs administratifs et/ou disciplinaires. Une personne salariée ne peut être congédiée que pour des raisons justes et suffisantes. </w:t>
      </w:r>
    </w:p>
    <w:p w14:paraId="740AEEAD" w14:textId="17A7B0EA" w:rsidR="483C7E65" w:rsidRDefault="483C7E65" w:rsidP="71D30AF0">
      <w:pPr>
        <w:pStyle w:val="Titre2"/>
        <w:rPr>
          <w:rFonts w:ascii="Rockwell" w:eastAsia="Rockwell" w:hAnsi="Rockwell" w:cs="Rockwell"/>
          <w:bCs/>
          <w:color w:val="287EA4"/>
          <w:szCs w:val="28"/>
        </w:rPr>
      </w:pPr>
      <w:bookmarkStart w:id="80" w:name="_Toc478165461"/>
      <w:bookmarkStart w:id="81" w:name="_Toc223443563"/>
      <w:r w:rsidRPr="71D30AF0">
        <w:t>Procédure de démission</w:t>
      </w:r>
      <w:bookmarkEnd w:id="80"/>
      <w:bookmarkEnd w:id="81"/>
    </w:p>
    <w:p w14:paraId="113C5CF0" w14:textId="571EA3F8" w:rsidR="483C7E65" w:rsidRDefault="483C7E65" w:rsidP="71D30AF0">
      <w:pPr>
        <w:jc w:val="both"/>
        <w:rPr>
          <w:rFonts w:ascii="Calibri" w:eastAsia="Calibri" w:hAnsi="Calibri" w:cs="Calibri"/>
          <w:color w:val="000000" w:themeColor="text1"/>
          <w:szCs w:val="20"/>
        </w:rPr>
      </w:pPr>
      <w:r w:rsidRPr="71D30AF0">
        <w:t>Dans le cas d’une démission, il est convenu que les personnes employées régulières donnent un préavis d’un (1) mois à la direction générale et au conseil d’administration. Toutefois, une entente pourra être convenue pour que les deux parties puissent trouver satisfaction.   </w:t>
      </w:r>
    </w:p>
    <w:p w14:paraId="235A88BC" w14:textId="7F0EA3A7" w:rsidR="71D30AF0" w:rsidRDefault="71D30AF0" w:rsidP="71D30AF0">
      <w:pPr>
        <w:jc w:val="both"/>
      </w:pPr>
    </w:p>
    <w:p w14:paraId="7D3CCDE5" w14:textId="74F0651A" w:rsidR="483C7E65" w:rsidRDefault="483C7E65" w:rsidP="71D30AF0">
      <w:pPr>
        <w:jc w:val="both"/>
        <w:rPr>
          <w:rFonts w:ascii="Calibri" w:eastAsia="Calibri" w:hAnsi="Calibri" w:cs="Calibri"/>
          <w:color w:val="000000" w:themeColor="text1"/>
          <w:szCs w:val="20"/>
        </w:rPr>
      </w:pPr>
      <w:r w:rsidRPr="71D30AF0">
        <w:t>Dans le cas d’une démission, il est convenu que la direction générale donne un préavis de deux (2) mois au Conseil d’administration. Toutefois, une entente pourra être convenue pour que les deux parties puissent trouver satisfaction.  </w:t>
      </w:r>
    </w:p>
    <w:p w14:paraId="5AA8B74F" w14:textId="23774F67" w:rsidR="483C7E65" w:rsidRDefault="483C7E65" w:rsidP="71D30AF0">
      <w:pPr>
        <w:pStyle w:val="Titre2"/>
        <w:rPr>
          <w:rFonts w:ascii="Rockwell" w:eastAsia="Rockwell" w:hAnsi="Rockwell" w:cs="Rockwell"/>
          <w:bCs/>
          <w:color w:val="287FA5"/>
          <w:szCs w:val="28"/>
        </w:rPr>
      </w:pPr>
      <w:bookmarkStart w:id="82" w:name="_Toc866736877"/>
      <w:bookmarkStart w:id="83" w:name="_Toc223443564"/>
      <w:r w:rsidRPr="71D30AF0">
        <w:t>Procédure d’avis : le licenciement, la mise à pied et le congédiement</w:t>
      </w:r>
      <w:bookmarkEnd w:id="82"/>
      <w:bookmarkEnd w:id="83"/>
    </w:p>
    <w:p w14:paraId="0EC3EF46" w14:textId="01F79367" w:rsidR="483C7E65" w:rsidRDefault="483C7E65" w:rsidP="71D30AF0">
      <w:pPr>
        <w:jc w:val="both"/>
        <w:rPr>
          <w:rFonts w:ascii="Calibri" w:eastAsia="Calibri" w:hAnsi="Calibri" w:cs="Calibri"/>
          <w:color w:val="000000" w:themeColor="text1"/>
          <w:szCs w:val="20"/>
        </w:rPr>
      </w:pPr>
      <w:r w:rsidRPr="71D30AF0">
        <w:t>Comme indiqué par la Loi, un avis de cessation d’emploi sera remis à la personne salariée avant de procéder à son licenciement, à sa mise à pied ou à son congédiement, sauf en cas de faute grave. </w:t>
      </w:r>
    </w:p>
    <w:p w14:paraId="106E6844" w14:textId="7486F24E" w:rsidR="71D30AF0" w:rsidRDefault="71D30AF0" w:rsidP="71D30AF0">
      <w:pPr>
        <w:jc w:val="both"/>
      </w:pPr>
    </w:p>
    <w:p w14:paraId="06F30BB2" w14:textId="731C3C51" w:rsidR="483C7E65" w:rsidRDefault="483C7E65" w:rsidP="71D30AF0">
      <w:pPr>
        <w:jc w:val="both"/>
        <w:rPr>
          <w:rFonts w:ascii="Calibri" w:eastAsia="Calibri" w:hAnsi="Calibri" w:cs="Calibri"/>
          <w:color w:val="000000" w:themeColor="text1"/>
          <w:szCs w:val="20"/>
        </w:rPr>
      </w:pPr>
      <w:r w:rsidRPr="71D30AF0">
        <w:t xml:space="preserve">Les délais d’avis seront tels que prévus par la Loi prévu à cet effet, et peuvent notamment différer en fonction de l’ancienneté ou des conditions de la procédure.  </w:t>
      </w:r>
    </w:p>
    <w:p w14:paraId="7E517BDB" w14:textId="687A769D" w:rsidR="483C7E65" w:rsidRDefault="483C7E65" w:rsidP="71D30AF0">
      <w:pPr>
        <w:pStyle w:val="Titre2"/>
        <w:rPr>
          <w:rFonts w:ascii="Rockwell" w:eastAsia="Rockwell" w:hAnsi="Rockwell" w:cs="Rockwell"/>
          <w:bCs/>
          <w:color w:val="287EA4"/>
          <w:szCs w:val="28"/>
        </w:rPr>
      </w:pPr>
      <w:bookmarkStart w:id="84" w:name="_Toc1416534968"/>
      <w:bookmarkStart w:id="85" w:name="_Toc223443565"/>
      <w:r w:rsidRPr="71D30AF0">
        <w:t>Mesure disciplinaire</w:t>
      </w:r>
      <w:bookmarkEnd w:id="84"/>
      <w:bookmarkEnd w:id="85"/>
    </w:p>
    <w:p w14:paraId="3E018D7E" w14:textId="04EB60EF" w:rsidR="483C7E65" w:rsidRDefault="483C7E65" w:rsidP="71D30AF0">
      <w:pPr>
        <w:jc w:val="both"/>
        <w:rPr>
          <w:rFonts w:ascii="Calibri" w:eastAsia="Calibri" w:hAnsi="Calibri" w:cs="Calibri"/>
          <w:color w:val="000000" w:themeColor="text1"/>
          <w:szCs w:val="20"/>
        </w:rPr>
      </w:pPr>
      <w:r w:rsidRPr="71D30AF0">
        <w:t xml:space="preserve">Le processus conduisant à </w:t>
      </w:r>
      <w:r w:rsidRPr="71D30AF0">
        <w:rPr>
          <w:i/>
          <w:iCs/>
        </w:rPr>
        <w:t>un congédiement de nature disciplinaire</w:t>
      </w:r>
      <w:r w:rsidRPr="71D30AF0">
        <w:t xml:space="preserve"> doit être fait avec diligence et suivre les étapes suivantes :  </w:t>
      </w:r>
    </w:p>
    <w:p w14:paraId="150BEAD5" w14:textId="3447DB2D" w:rsidR="483C7E65" w:rsidRDefault="483C7E65" w:rsidP="71D30AF0">
      <w:pPr>
        <w:jc w:val="both"/>
        <w:rPr>
          <w:rFonts w:ascii="Calibri" w:eastAsia="Calibri" w:hAnsi="Calibri" w:cs="Calibri"/>
          <w:color w:val="000000" w:themeColor="text1"/>
          <w:szCs w:val="20"/>
        </w:rPr>
      </w:pPr>
      <w:r w:rsidRPr="71D30AF0">
        <w:rPr>
          <w:rStyle w:val="Accentuationlgre"/>
        </w:rPr>
        <w:t>1re étape</w:t>
      </w:r>
      <w:r w:rsidR="7682D6CD" w:rsidRPr="71D30AF0">
        <w:rPr>
          <w:rStyle w:val="Accentuationlgre"/>
        </w:rPr>
        <w:t xml:space="preserve"> </w:t>
      </w:r>
      <w:r w:rsidRPr="71D30AF0">
        <w:rPr>
          <w:rStyle w:val="Accentuationlgre"/>
        </w:rPr>
        <w:t xml:space="preserve">: </w:t>
      </w:r>
      <w:r w:rsidRPr="71D30AF0">
        <w:t>Un avertissement verbal est donné à la personne employée par la direction générale.  </w:t>
      </w:r>
    </w:p>
    <w:p w14:paraId="0C06EB58" w14:textId="2081A09E" w:rsidR="483C7E65" w:rsidRDefault="483C7E65" w:rsidP="71D30AF0">
      <w:pPr>
        <w:jc w:val="both"/>
        <w:rPr>
          <w:rFonts w:ascii="Calibri" w:eastAsia="Calibri" w:hAnsi="Calibri" w:cs="Calibri"/>
          <w:color w:val="000000" w:themeColor="text1"/>
          <w:szCs w:val="20"/>
        </w:rPr>
      </w:pPr>
      <w:r w:rsidRPr="71D30AF0">
        <w:rPr>
          <w:rStyle w:val="Accentuationlgre"/>
        </w:rPr>
        <w:t xml:space="preserve">2e étape : </w:t>
      </w:r>
      <w:r w:rsidRPr="71D30AF0">
        <w:t>En cas de récidive, un avertissement écrit est donné à la personne employée par la direction générale.  </w:t>
      </w:r>
    </w:p>
    <w:p w14:paraId="385C6F03" w14:textId="4739CF65" w:rsidR="483C7E65" w:rsidRDefault="483C7E65" w:rsidP="71D30AF0">
      <w:pPr>
        <w:jc w:val="both"/>
        <w:rPr>
          <w:rFonts w:ascii="Calibri" w:eastAsia="Calibri" w:hAnsi="Calibri" w:cs="Calibri"/>
          <w:color w:val="000000" w:themeColor="text1"/>
          <w:szCs w:val="20"/>
        </w:rPr>
      </w:pPr>
      <w:r w:rsidRPr="71D30AF0">
        <w:rPr>
          <w:rStyle w:val="Accentuationlgre"/>
        </w:rPr>
        <w:t xml:space="preserve">3e étape : </w:t>
      </w:r>
      <w:r w:rsidRPr="71D30AF0">
        <w:t>En cas de récidive, une suspension sans solde d’une durée variant entre une et cinq (5) journées est déterminée par la direction générale, selon la gravité de la faute et les facteurs atténuants ou aggravants. </w:t>
      </w:r>
    </w:p>
    <w:p w14:paraId="79B26D38" w14:textId="7C2E968E" w:rsidR="483C7E65" w:rsidRDefault="483C7E65" w:rsidP="71D30AF0">
      <w:pPr>
        <w:jc w:val="both"/>
        <w:rPr>
          <w:rFonts w:ascii="Calibri" w:eastAsia="Calibri" w:hAnsi="Calibri" w:cs="Calibri"/>
          <w:color w:val="000000" w:themeColor="text1"/>
          <w:szCs w:val="20"/>
        </w:rPr>
      </w:pPr>
      <w:r w:rsidRPr="71D30AF0">
        <w:rPr>
          <w:rStyle w:val="Accentuationlgre"/>
        </w:rPr>
        <w:t xml:space="preserve">4e étape : </w:t>
      </w:r>
      <w:r w:rsidRPr="71D30AF0">
        <w:t xml:space="preserve">Après le retour de suspension, toute récidive entraine le congédiement immédiat de la personne employée. Un avis écrit lui est remis par la direction générale. Ce dernier indique le congédiement ainsi que les raisons qui le motivent. </w:t>
      </w:r>
    </w:p>
    <w:p w14:paraId="69161461" w14:textId="263A60D9" w:rsidR="71D30AF0" w:rsidRDefault="71D30AF0" w:rsidP="71D30AF0">
      <w:pPr>
        <w:jc w:val="both"/>
      </w:pPr>
    </w:p>
    <w:p w14:paraId="6BF5DB8E" w14:textId="7367657A" w:rsidR="483C7E65" w:rsidRDefault="483C7E65" w:rsidP="71D30AF0">
      <w:pPr>
        <w:jc w:val="both"/>
        <w:rPr>
          <w:rFonts w:ascii="Calibri" w:eastAsia="Calibri" w:hAnsi="Calibri" w:cs="Calibri"/>
          <w:color w:val="000000" w:themeColor="text1"/>
          <w:szCs w:val="20"/>
        </w:rPr>
      </w:pPr>
      <w:r w:rsidRPr="71D30AF0">
        <w:t>La personne employée peut soumettre son congédiement à une procédure d’appel. Cette demande doit être transmise par écrit au conseil d’administration ou à son mandataire au plus tard trois jours ouvrables après la réception de l’avis de congédiement. Le conseil d’administration a le devoir de statuer sur la demande d’appel dans les quinze jours suivant le dépôt de la demande. </w:t>
      </w:r>
    </w:p>
    <w:p w14:paraId="49584D9B" w14:textId="07C29ECB" w:rsidR="71D30AF0" w:rsidRDefault="71D30AF0" w:rsidP="71D30AF0">
      <w:pPr>
        <w:jc w:val="both"/>
      </w:pPr>
    </w:p>
    <w:p w14:paraId="3487D718" w14:textId="7BA3A306" w:rsidR="483C7E65" w:rsidRDefault="483C7E65" w:rsidP="71D30AF0">
      <w:pPr>
        <w:jc w:val="both"/>
        <w:rPr>
          <w:rFonts w:ascii="Calibri" w:eastAsia="Calibri" w:hAnsi="Calibri" w:cs="Calibri"/>
          <w:color w:val="000000" w:themeColor="text1"/>
          <w:szCs w:val="20"/>
        </w:rPr>
      </w:pPr>
      <w:r w:rsidRPr="71D30AF0">
        <w:t>La personne employée qui souhaite déposer une plainte en matière de normes du travail peut également procéder auprès de la CNESST, dans les délais prescrits par la loi.</w:t>
      </w:r>
    </w:p>
    <w:p w14:paraId="0C734449" w14:textId="4D1FF547" w:rsidR="71D30AF0" w:rsidRDefault="71D30AF0" w:rsidP="71D30AF0"/>
    <w:p w14:paraId="16C915F2" w14:textId="5851DD2B" w:rsidR="483C7E65" w:rsidRDefault="483C7E65" w:rsidP="71D30AF0">
      <w:pPr>
        <w:jc w:val="both"/>
        <w:rPr>
          <w:rFonts w:ascii="Calibri" w:eastAsia="Calibri" w:hAnsi="Calibri" w:cs="Calibri"/>
          <w:color w:val="000000" w:themeColor="text1"/>
          <w:szCs w:val="20"/>
        </w:rPr>
      </w:pPr>
      <w:r w:rsidRPr="71D30AF0">
        <w:lastRenderedPageBreak/>
        <w:t xml:space="preserve">Le processus conduisant à </w:t>
      </w:r>
      <w:r w:rsidRPr="71D30AF0">
        <w:rPr>
          <w:b/>
          <w:bCs/>
        </w:rPr>
        <w:t xml:space="preserve">un congédiement de nature administratif </w:t>
      </w:r>
      <w:r w:rsidRPr="71D30AF0">
        <w:t>doit être fait avec diligence et suivre les étapes suivantes :  </w:t>
      </w:r>
    </w:p>
    <w:p w14:paraId="19A4C26F" w14:textId="52128028" w:rsidR="483C7E65" w:rsidRDefault="483C7E65" w:rsidP="71D30AF0">
      <w:pPr>
        <w:jc w:val="both"/>
        <w:rPr>
          <w:rFonts w:ascii="Calibri" w:eastAsia="Calibri" w:hAnsi="Calibri" w:cs="Calibri"/>
          <w:color w:val="000000" w:themeColor="text1"/>
          <w:szCs w:val="20"/>
        </w:rPr>
      </w:pPr>
      <w:r w:rsidRPr="71D30AF0">
        <w:rPr>
          <w:rStyle w:val="Accentuationlgre"/>
        </w:rPr>
        <w:t>1re étape :</w:t>
      </w:r>
      <w:r w:rsidRPr="71D30AF0">
        <w:t xml:space="preserve"> En cas de rendement insatisfaisant ou pour tout autre motif administratif, une rencontre est tenue entre la direction générale et la personne employée afin d’identifier la problématique ou les lacunes, de fixer des objectifs ou identifier des solutions. La direction s’engage à fournir des outils à la personne employée pour que cette personne parvienne à appliquer les solutions ou atteindre les objectifs. Une date de suivi est indiquée par la direction afin de faire le point avec la personne employée sur sa progression  </w:t>
      </w:r>
    </w:p>
    <w:p w14:paraId="688AF9B9" w14:textId="76E0CF24" w:rsidR="483C7E65" w:rsidRDefault="483C7E65" w:rsidP="71D30AF0">
      <w:pPr>
        <w:jc w:val="both"/>
        <w:rPr>
          <w:rFonts w:ascii="Calibri" w:eastAsia="Calibri" w:hAnsi="Calibri" w:cs="Calibri"/>
          <w:color w:val="000000" w:themeColor="text1"/>
          <w:szCs w:val="20"/>
        </w:rPr>
      </w:pPr>
      <w:r w:rsidRPr="71D30AF0">
        <w:rPr>
          <w:rStyle w:val="Accentuationlgre"/>
        </w:rPr>
        <w:t xml:space="preserve">2e étape : </w:t>
      </w:r>
      <w:r w:rsidRPr="71D30AF0">
        <w:t xml:space="preserve">Lors de la rencontre de suivi, la direction générale informe la personne employée de sa progression. </w:t>
      </w:r>
    </w:p>
    <w:p w14:paraId="658A89DB" w14:textId="14EC2AC6" w:rsidR="71D30AF0" w:rsidRDefault="71D30AF0" w:rsidP="71D30AF0">
      <w:pPr>
        <w:jc w:val="both"/>
      </w:pPr>
    </w:p>
    <w:p w14:paraId="7DE5FFC9" w14:textId="3E06E797" w:rsidR="483C7E65" w:rsidRDefault="483C7E65" w:rsidP="71D30AF0">
      <w:pPr>
        <w:jc w:val="both"/>
        <w:rPr>
          <w:rFonts w:ascii="Calibri" w:eastAsia="Calibri" w:hAnsi="Calibri" w:cs="Calibri"/>
          <w:color w:val="000000" w:themeColor="text1"/>
          <w:szCs w:val="20"/>
        </w:rPr>
      </w:pPr>
      <w:r w:rsidRPr="71D30AF0">
        <w:t xml:space="preserve">Si selon la direction générale, les lacunes et/ou problématiques sont réglées, le processus est terminé. </w:t>
      </w:r>
    </w:p>
    <w:p w14:paraId="168878B7" w14:textId="083A6FE0" w:rsidR="483C7E65" w:rsidRDefault="483C7E65" w:rsidP="71D30AF0">
      <w:pPr>
        <w:jc w:val="both"/>
        <w:rPr>
          <w:rFonts w:ascii="Calibri" w:eastAsia="Calibri" w:hAnsi="Calibri" w:cs="Calibri"/>
          <w:color w:val="000000" w:themeColor="text1"/>
          <w:szCs w:val="20"/>
        </w:rPr>
      </w:pPr>
      <w:r w:rsidRPr="71D30AF0">
        <w:t xml:space="preserve">Si une amélioration quant aux lacunes et/ou problématiques soulevées est notée de manière satisfaisante, une nouvelle rencontre de suivi est fixée. </w:t>
      </w:r>
    </w:p>
    <w:p w14:paraId="1BDEDFC3" w14:textId="1D730F6B" w:rsidR="483C7E65" w:rsidRDefault="483C7E65" w:rsidP="71D30AF0">
      <w:pPr>
        <w:jc w:val="both"/>
        <w:rPr>
          <w:rFonts w:ascii="Calibri" w:eastAsia="Calibri" w:hAnsi="Calibri" w:cs="Calibri"/>
          <w:color w:val="000000" w:themeColor="text1"/>
          <w:szCs w:val="20"/>
        </w:rPr>
      </w:pPr>
      <w:r w:rsidRPr="71D30AF0">
        <w:t>Si aucune amélioration n’est notée, la direction procède à la fin d’emploi. </w:t>
      </w:r>
    </w:p>
    <w:p w14:paraId="7640A992" w14:textId="2E8F364C" w:rsidR="71D30AF0" w:rsidRDefault="71D30AF0" w:rsidP="71D30AF0">
      <w:pPr>
        <w:jc w:val="both"/>
      </w:pPr>
    </w:p>
    <w:p w14:paraId="43DB1C50" w14:textId="24BD63DE" w:rsidR="483C7E65" w:rsidRDefault="483C7E65" w:rsidP="71D30AF0">
      <w:pPr>
        <w:jc w:val="both"/>
        <w:rPr>
          <w:rFonts w:ascii="Calibri" w:eastAsia="Calibri" w:hAnsi="Calibri" w:cs="Calibri"/>
          <w:color w:val="000000" w:themeColor="text1"/>
          <w:szCs w:val="20"/>
        </w:rPr>
      </w:pPr>
      <w:r w:rsidRPr="71D30AF0">
        <w:t>La personne employée peut soumettre son congédiement à une procédure d’appel.  La demande d’appel doit être adressée par écrit au conseil d’administration ou à son mandataire au plus tard trois jours après la réception de l’avis de congédiement.  Le conseil d’administration a le devoir de statuer sur la demande d’appel dans les quinze jours suivant le dépôt de la demande. </w:t>
      </w:r>
    </w:p>
    <w:p w14:paraId="1BAEDA2F" w14:textId="58468901" w:rsidR="388C251B" w:rsidRDefault="388C251B" w:rsidP="71D30AF0">
      <w:pPr>
        <w:pStyle w:val="Titre1"/>
      </w:pPr>
      <w:bookmarkStart w:id="86" w:name="_Toc1287531491"/>
      <w:bookmarkStart w:id="87" w:name="_Toc223443566"/>
      <w:r w:rsidRPr="71D30AF0">
        <w:t xml:space="preserve">13| </w:t>
      </w:r>
      <w:r w:rsidR="483C7E65" w:rsidRPr="71D30AF0">
        <w:t>Congé sans solde</w:t>
      </w:r>
      <w:bookmarkEnd w:id="86"/>
      <w:bookmarkEnd w:id="87"/>
    </w:p>
    <w:p w14:paraId="3D0E6FAA" w14:textId="74F6896C" w:rsidR="483C7E65" w:rsidRDefault="483C7E65" w:rsidP="71D30AF0">
      <w:pPr>
        <w:jc w:val="both"/>
        <w:rPr>
          <w:rFonts w:ascii="Calibri" w:eastAsia="Calibri" w:hAnsi="Calibri" w:cs="Calibri"/>
          <w:color w:val="000000" w:themeColor="text1"/>
          <w:szCs w:val="20"/>
        </w:rPr>
      </w:pPr>
      <w:r w:rsidRPr="71D30AF0">
        <w:t>Après quatre (4) ans de service, toute personne salariée régulière peut obtenir un congé sans solde d’une durée maximale d’un an après entente avec la direction générale. La personne employée qui le désire peut convenir d’un montant prélevé sur sa paye pour assurer une rémunération durant le congé prévu (congé différé).</w:t>
      </w:r>
    </w:p>
    <w:p w14:paraId="73A955D9" w14:textId="121D18A6" w:rsidR="71D30AF0" w:rsidRDefault="71D30AF0" w:rsidP="71D30AF0">
      <w:pPr>
        <w:jc w:val="both"/>
      </w:pPr>
    </w:p>
    <w:p w14:paraId="35F86E51" w14:textId="602063D0" w:rsidR="483C7E65" w:rsidRDefault="483C7E65" w:rsidP="71D30AF0">
      <w:pPr>
        <w:jc w:val="both"/>
        <w:rPr>
          <w:rFonts w:ascii="Calibri" w:eastAsia="Calibri" w:hAnsi="Calibri" w:cs="Calibri"/>
          <w:color w:val="000000" w:themeColor="text1"/>
          <w:szCs w:val="20"/>
        </w:rPr>
      </w:pPr>
      <w:r w:rsidRPr="71D30AF0">
        <w:t>La personne employée peut faire la demande d’un congé sans solde d’une durée maximale d’un an suivant un congé de maternité/parentalité.</w:t>
      </w:r>
    </w:p>
    <w:p w14:paraId="0D0737B6" w14:textId="3E6CFBD2" w:rsidR="71D30AF0" w:rsidRDefault="71D30AF0" w:rsidP="71D30AF0">
      <w:pPr>
        <w:jc w:val="both"/>
      </w:pPr>
    </w:p>
    <w:p w14:paraId="254123FE" w14:textId="657F8F0C" w:rsidR="483C7E65" w:rsidRDefault="483C7E65" w:rsidP="71D30AF0">
      <w:pPr>
        <w:jc w:val="both"/>
        <w:rPr>
          <w:rFonts w:ascii="Calibri" w:eastAsia="Calibri" w:hAnsi="Calibri" w:cs="Calibri"/>
          <w:color w:val="000000" w:themeColor="text1"/>
          <w:szCs w:val="20"/>
        </w:rPr>
      </w:pPr>
      <w:r w:rsidRPr="71D30AF0">
        <w:t xml:space="preserve">La personne employée peut demander deux (2) semaines de congé sans solde par année. Le nombre de semaines sans solde annuel peut, lors de situation particulière et suivant une entente avec la direction, atteindre jusqu’à un maximum d’un (1) mois. </w:t>
      </w:r>
    </w:p>
    <w:p w14:paraId="10EB0D07" w14:textId="504AFAAE" w:rsidR="483C7E65" w:rsidRDefault="483C7E65" w:rsidP="71D30AF0">
      <w:pPr>
        <w:pStyle w:val="Titre2"/>
        <w:rPr>
          <w:rFonts w:ascii="Rockwell" w:eastAsia="Rockwell" w:hAnsi="Rockwell" w:cs="Rockwell"/>
          <w:bCs/>
          <w:color w:val="287FA5"/>
          <w:szCs w:val="28"/>
        </w:rPr>
      </w:pPr>
      <w:bookmarkStart w:id="88" w:name="_Toc52018228"/>
      <w:bookmarkStart w:id="89" w:name="_Toc223443567"/>
      <w:r w:rsidRPr="71D30AF0">
        <w:t>Retour de congé sans solde</w:t>
      </w:r>
      <w:bookmarkEnd w:id="88"/>
      <w:bookmarkEnd w:id="89"/>
    </w:p>
    <w:p w14:paraId="5B6CC7C6" w14:textId="415D1CF0" w:rsidR="483C7E65" w:rsidRDefault="483C7E65" w:rsidP="71D30AF0">
      <w:pPr>
        <w:jc w:val="both"/>
        <w:rPr>
          <w:rFonts w:ascii="Calibri" w:eastAsia="Calibri" w:hAnsi="Calibri" w:cs="Calibri"/>
          <w:color w:val="000000" w:themeColor="text1"/>
          <w:szCs w:val="20"/>
        </w:rPr>
      </w:pPr>
      <w:r w:rsidRPr="71D30AF0">
        <w:t xml:space="preserve">La personne employée régulière devra confirmer son intention de reprendre ses fonctions à la fin de son congé sans solde au moins quatre (4) semaines avant la date qui avait été convenue pour son retour, faute de quoi elle est réputée avoir démissionné. </w:t>
      </w:r>
    </w:p>
    <w:p w14:paraId="4D74FE36" w14:textId="7CCA3FAE" w:rsidR="71D30AF0" w:rsidRDefault="71D30AF0" w:rsidP="71D30AF0">
      <w:pPr>
        <w:jc w:val="both"/>
      </w:pPr>
    </w:p>
    <w:p w14:paraId="037E8360" w14:textId="30ADEFF7" w:rsidR="483C7E65" w:rsidRDefault="483C7E65" w:rsidP="71D30AF0">
      <w:pPr>
        <w:jc w:val="both"/>
        <w:rPr>
          <w:rFonts w:ascii="Calibri" w:eastAsia="Calibri" w:hAnsi="Calibri" w:cs="Calibri"/>
          <w:color w:val="000000" w:themeColor="text1"/>
          <w:szCs w:val="20"/>
        </w:rPr>
      </w:pPr>
      <w:r w:rsidRPr="71D30AF0">
        <w:t>À son retour de congé sans solde, la personne employée régulière réintègre son poste. Dans le cas où le poste n'existerait plus, c'est l'ancienneté et les compétences qui prévalent pour, par exemple, occuper un autre poste. </w:t>
      </w:r>
    </w:p>
    <w:p w14:paraId="3CC83D9F" w14:textId="1EF33422" w:rsidR="71D30AF0" w:rsidRDefault="71D30AF0" w:rsidP="71D30AF0">
      <w:pPr>
        <w:jc w:val="both"/>
      </w:pPr>
    </w:p>
    <w:p w14:paraId="224627D9" w14:textId="2E59D5E0" w:rsidR="483C7E65" w:rsidRDefault="483C7E65" w:rsidP="71D30AF0">
      <w:pPr>
        <w:jc w:val="both"/>
        <w:rPr>
          <w:rFonts w:ascii="Calibri" w:eastAsia="Calibri" w:hAnsi="Calibri" w:cs="Calibri"/>
          <w:color w:val="000000" w:themeColor="text1"/>
          <w:szCs w:val="20"/>
        </w:rPr>
      </w:pPr>
      <w:r w:rsidRPr="71D30AF0">
        <w:t>Un retour anticipé ne pourra s'effectuer sans le consentement de la direction.</w:t>
      </w:r>
    </w:p>
    <w:p w14:paraId="3CC4D42D" w14:textId="1FA5D2BF" w:rsidR="4FFF0AEB" w:rsidRDefault="4FFF0AEB" w:rsidP="71D30AF0">
      <w:pPr>
        <w:pStyle w:val="Titre1"/>
        <w:rPr>
          <w:rFonts w:ascii="Rockwell" w:eastAsia="Rockwell" w:hAnsi="Rockwell" w:cs="Rockwell"/>
          <w:bCs/>
          <w:color w:val="003A60"/>
          <w:sz w:val="36"/>
          <w:szCs w:val="36"/>
        </w:rPr>
      </w:pPr>
      <w:bookmarkStart w:id="90" w:name="_Toc1582698437"/>
      <w:bookmarkStart w:id="91" w:name="_Toc223443568"/>
      <w:r w:rsidRPr="71D30AF0">
        <w:t xml:space="preserve">14| </w:t>
      </w:r>
      <w:r w:rsidR="483C7E65" w:rsidRPr="71D30AF0">
        <w:t>Activités de représentation</w:t>
      </w:r>
      <w:bookmarkEnd w:id="90"/>
      <w:bookmarkEnd w:id="91"/>
      <w:r w:rsidR="483C7E65" w:rsidRPr="71D30AF0">
        <w:t> </w:t>
      </w:r>
    </w:p>
    <w:p w14:paraId="39E6DBA9" w14:textId="48CFEA4C" w:rsidR="483C7E65" w:rsidRDefault="483C7E65" w:rsidP="71D30AF0">
      <w:pPr>
        <w:jc w:val="both"/>
        <w:rPr>
          <w:rFonts w:ascii="Calibri" w:eastAsia="Calibri" w:hAnsi="Calibri" w:cs="Calibri"/>
          <w:color w:val="000000" w:themeColor="text1"/>
          <w:szCs w:val="20"/>
        </w:rPr>
      </w:pPr>
      <w:r w:rsidRPr="71D30AF0">
        <w:t>Les activités de représentation à la Fondation s’inscrivent dans une approche cohérente avec nos valeurs d’intégrité, de transparence, d’humilité et de responsabilité. Elles visent à amplifier les voix des communautés que nous soutenons, à renforcer les solidarités et à favoriser des collaborations alignées avec notre engagement envers la justice sociale et écologique.</w:t>
      </w:r>
    </w:p>
    <w:p w14:paraId="784F758E" w14:textId="629DBCDD" w:rsidR="71D30AF0" w:rsidRDefault="71D30AF0" w:rsidP="71D30AF0">
      <w:pPr>
        <w:jc w:val="both"/>
      </w:pPr>
    </w:p>
    <w:p w14:paraId="1F62D433" w14:textId="22FE228D" w:rsidR="483C7E65" w:rsidRDefault="483C7E65" w:rsidP="71D30AF0">
      <w:pPr>
        <w:jc w:val="both"/>
        <w:rPr>
          <w:rFonts w:ascii="Calibri" w:eastAsia="Calibri" w:hAnsi="Calibri" w:cs="Calibri"/>
          <w:color w:val="000000" w:themeColor="text1"/>
          <w:szCs w:val="20"/>
        </w:rPr>
      </w:pPr>
      <w:r w:rsidRPr="71D30AF0">
        <w:t>Une activité de représentation est toute action réalisée au nom et au bénéfice de la Fondation auprès d’une organisation, d’un réseau, d’un partenaire ou du grand public. Cela peut inclure, sans s’y limiter :</w:t>
      </w:r>
    </w:p>
    <w:p w14:paraId="17FCB621" w14:textId="08809151" w:rsidR="483C7E65" w:rsidRDefault="483C7E65" w:rsidP="71D30AF0">
      <w:pPr>
        <w:pStyle w:val="Paragraphedeliste"/>
        <w:numPr>
          <w:ilvl w:val="0"/>
          <w:numId w:val="17"/>
        </w:numPr>
        <w:spacing w:before="240" w:after="400"/>
        <w:jc w:val="both"/>
        <w:rPr>
          <w:rFonts w:eastAsia="Lora" w:cs="Lora"/>
          <w:color w:val="31595C" w:themeColor="accent1"/>
          <w:szCs w:val="20"/>
        </w:rPr>
      </w:pPr>
      <w:r w:rsidRPr="71D30AF0">
        <w:rPr>
          <w:rFonts w:eastAsia="Lora" w:cs="Lora"/>
          <w:color w:val="31595C" w:themeColor="accent1"/>
          <w:szCs w:val="20"/>
        </w:rPr>
        <w:t>La participation à des événements, panels, conférences ou rencontres stratégiques.</w:t>
      </w:r>
    </w:p>
    <w:p w14:paraId="68D0EB25" w14:textId="7880E7A7" w:rsidR="483C7E65" w:rsidRDefault="483C7E65" w:rsidP="71D30AF0">
      <w:pPr>
        <w:pStyle w:val="Paragraphedeliste"/>
        <w:numPr>
          <w:ilvl w:val="0"/>
          <w:numId w:val="17"/>
        </w:numPr>
        <w:spacing w:before="240" w:after="400"/>
        <w:jc w:val="both"/>
        <w:rPr>
          <w:rFonts w:eastAsia="Lora" w:cs="Lora"/>
          <w:color w:val="31595C" w:themeColor="accent1"/>
          <w:szCs w:val="20"/>
        </w:rPr>
      </w:pPr>
      <w:r w:rsidRPr="71D30AF0">
        <w:rPr>
          <w:rFonts w:eastAsia="Lora" w:cs="Lora"/>
          <w:color w:val="31595C" w:themeColor="accent1"/>
          <w:szCs w:val="20"/>
        </w:rPr>
        <w:t>La représentation de la Fondation dans des groupes de travail, comités ou réseaux de collaboration.</w:t>
      </w:r>
    </w:p>
    <w:p w14:paraId="2269440D" w14:textId="425CB53E" w:rsidR="483C7E65" w:rsidRDefault="483C7E65" w:rsidP="71D30AF0">
      <w:pPr>
        <w:pStyle w:val="Paragraphedeliste"/>
        <w:numPr>
          <w:ilvl w:val="0"/>
          <w:numId w:val="17"/>
        </w:numPr>
        <w:spacing w:before="240" w:after="400"/>
        <w:jc w:val="both"/>
        <w:rPr>
          <w:rFonts w:eastAsia="Lora" w:cs="Lora"/>
          <w:color w:val="31595C" w:themeColor="accent1"/>
          <w:szCs w:val="20"/>
        </w:rPr>
      </w:pPr>
      <w:r w:rsidRPr="71D30AF0">
        <w:rPr>
          <w:rFonts w:eastAsia="Lora" w:cs="Lora"/>
          <w:color w:val="31595C" w:themeColor="accent1"/>
          <w:szCs w:val="20"/>
        </w:rPr>
        <w:t>Des interventions publiques, y compris des prises de parole, entrevues médiatiques ou contributions à des publications.</w:t>
      </w:r>
    </w:p>
    <w:p w14:paraId="5BE73CFA" w14:textId="6D51BE3C" w:rsidR="483C7E65" w:rsidRDefault="483C7E65" w:rsidP="71D30AF0">
      <w:pPr>
        <w:pStyle w:val="Paragraphedeliste"/>
        <w:numPr>
          <w:ilvl w:val="0"/>
          <w:numId w:val="17"/>
        </w:numPr>
        <w:spacing w:before="240" w:after="400"/>
        <w:jc w:val="both"/>
        <w:rPr>
          <w:rFonts w:eastAsia="Lora" w:cs="Lora"/>
          <w:color w:val="31595C" w:themeColor="accent1"/>
          <w:szCs w:val="20"/>
        </w:rPr>
      </w:pPr>
      <w:r w:rsidRPr="71D30AF0">
        <w:rPr>
          <w:rFonts w:eastAsia="Lora" w:cs="Lora"/>
          <w:color w:val="31595C" w:themeColor="accent1"/>
          <w:szCs w:val="20"/>
        </w:rPr>
        <w:t xml:space="preserve">La création et l’entretien de relations avec des partenaires, en cohérence avec notre approche de </w:t>
      </w:r>
      <w:r w:rsidRPr="71D30AF0">
        <w:rPr>
          <w:rFonts w:eastAsia="Lora" w:cs="Lora"/>
          <w:b/>
          <w:bCs/>
          <w:color w:val="31595C" w:themeColor="accent1"/>
          <w:szCs w:val="20"/>
        </w:rPr>
        <w:t>collaboration radicale</w:t>
      </w:r>
      <w:r w:rsidRPr="71D30AF0">
        <w:rPr>
          <w:rFonts w:eastAsia="Lora" w:cs="Lora"/>
          <w:color w:val="31595C" w:themeColor="accent1"/>
          <w:szCs w:val="20"/>
        </w:rPr>
        <w:t xml:space="preserve"> et de </w:t>
      </w:r>
      <w:r w:rsidRPr="71D30AF0">
        <w:rPr>
          <w:rFonts w:eastAsia="Lora" w:cs="Lora"/>
          <w:b/>
          <w:bCs/>
          <w:color w:val="31595C" w:themeColor="accent1"/>
          <w:szCs w:val="20"/>
        </w:rPr>
        <w:t>philanthropie basée sur la confiance</w:t>
      </w:r>
      <w:r w:rsidRPr="71D30AF0">
        <w:rPr>
          <w:rFonts w:eastAsia="Lora" w:cs="Lora"/>
          <w:color w:val="31595C" w:themeColor="accent1"/>
          <w:szCs w:val="20"/>
        </w:rPr>
        <w:t>.</w:t>
      </w:r>
    </w:p>
    <w:p w14:paraId="28E64FA1" w14:textId="6BD13109" w:rsidR="483C7E65" w:rsidRDefault="483C7E65" w:rsidP="71D30AF0">
      <w:pPr>
        <w:jc w:val="both"/>
        <w:rPr>
          <w:rFonts w:eastAsia="Lora" w:cs="Lora"/>
          <w:color w:val="000000" w:themeColor="text1"/>
          <w:szCs w:val="20"/>
        </w:rPr>
      </w:pPr>
      <w:r w:rsidRPr="71D30AF0">
        <w:rPr>
          <w:rStyle w:val="Accentuationlgre"/>
        </w:rPr>
        <w:t>Principes directeurs des activités de représentation</w:t>
      </w:r>
    </w:p>
    <w:p w14:paraId="2486C4DC" w14:textId="0256C093"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Toute activité de représentation doit être effectuée avec un souci de </w:t>
      </w:r>
      <w:r w:rsidRPr="71D30AF0">
        <w:rPr>
          <w:rFonts w:eastAsia="Lora" w:cs="Lora"/>
          <w:b/>
          <w:bCs/>
          <w:color w:val="000000" w:themeColor="text1"/>
          <w:szCs w:val="20"/>
        </w:rPr>
        <w:t>cohérence éthique et de respect des communautés concernées</w:t>
      </w:r>
      <w:r w:rsidRPr="71D30AF0">
        <w:rPr>
          <w:rFonts w:eastAsia="Lora" w:cs="Lora"/>
          <w:color w:val="000000" w:themeColor="text1"/>
          <w:szCs w:val="20"/>
        </w:rPr>
        <w:t>. À cet effet, les personnes employées participant à ces activités doivent :</w:t>
      </w:r>
    </w:p>
    <w:p w14:paraId="6EE9F4D4" w14:textId="26D19884" w:rsidR="483C7E65" w:rsidRDefault="483C7E65" w:rsidP="71D30AF0">
      <w:pPr>
        <w:pStyle w:val="Paragraphedeliste"/>
        <w:numPr>
          <w:ilvl w:val="0"/>
          <w:numId w:val="16"/>
        </w:numPr>
        <w:spacing w:before="240" w:after="400"/>
        <w:jc w:val="both"/>
        <w:rPr>
          <w:rFonts w:eastAsia="Lora" w:cs="Lora"/>
          <w:color w:val="31595C" w:themeColor="accent1"/>
          <w:szCs w:val="20"/>
        </w:rPr>
      </w:pPr>
      <w:r w:rsidRPr="71D30AF0">
        <w:rPr>
          <w:rFonts w:eastAsia="Lora" w:cs="Lora"/>
          <w:b/>
          <w:bCs/>
          <w:color w:val="31595C" w:themeColor="accent1"/>
          <w:szCs w:val="20"/>
        </w:rPr>
        <w:t>Agir avec intégrité et humilité</w:t>
      </w:r>
      <w:r w:rsidRPr="71D30AF0">
        <w:rPr>
          <w:rFonts w:eastAsia="Lora" w:cs="Lora"/>
          <w:color w:val="31595C" w:themeColor="accent1"/>
          <w:szCs w:val="20"/>
        </w:rPr>
        <w:t>, en reconnaissant que nous sommes en position d’appui et non de leadership sur les enjeux qui concernent les communautés que nous soutenons.</w:t>
      </w:r>
    </w:p>
    <w:p w14:paraId="0304BFBC" w14:textId="5904386D" w:rsidR="483C7E65" w:rsidRDefault="483C7E65" w:rsidP="71D30AF0">
      <w:pPr>
        <w:pStyle w:val="Paragraphedeliste"/>
        <w:numPr>
          <w:ilvl w:val="0"/>
          <w:numId w:val="16"/>
        </w:numPr>
        <w:spacing w:before="240" w:after="400"/>
        <w:jc w:val="both"/>
        <w:rPr>
          <w:rFonts w:eastAsia="Lora" w:cs="Lora"/>
          <w:color w:val="31595C" w:themeColor="accent1"/>
          <w:szCs w:val="20"/>
        </w:rPr>
      </w:pPr>
      <w:r w:rsidRPr="71D30AF0">
        <w:rPr>
          <w:rFonts w:eastAsia="Lora" w:cs="Lora"/>
          <w:b/>
          <w:bCs/>
          <w:color w:val="31595C" w:themeColor="accent1"/>
          <w:szCs w:val="20"/>
        </w:rPr>
        <w:t>Privilégier une approche d’écoute et de transmission</w:t>
      </w:r>
      <w:r w:rsidRPr="71D30AF0">
        <w:rPr>
          <w:rFonts w:eastAsia="Lora" w:cs="Lora"/>
          <w:color w:val="31595C" w:themeColor="accent1"/>
          <w:szCs w:val="20"/>
        </w:rPr>
        <w:t>, en mettant en avant les perspectives des groupes concernés et en évitant toute posture de surplomb ou d’appropriation.</w:t>
      </w:r>
    </w:p>
    <w:p w14:paraId="47631E87" w14:textId="33CD76D5" w:rsidR="483C7E65" w:rsidRDefault="483C7E65" w:rsidP="71D30AF0">
      <w:pPr>
        <w:pStyle w:val="Paragraphedeliste"/>
        <w:numPr>
          <w:ilvl w:val="0"/>
          <w:numId w:val="16"/>
        </w:numPr>
        <w:spacing w:before="240" w:after="400"/>
        <w:jc w:val="both"/>
        <w:rPr>
          <w:rFonts w:eastAsia="Lora" w:cs="Lora"/>
          <w:color w:val="31595C" w:themeColor="accent1"/>
          <w:szCs w:val="20"/>
        </w:rPr>
      </w:pPr>
      <w:r w:rsidRPr="71D30AF0">
        <w:rPr>
          <w:rFonts w:eastAsia="Lora" w:cs="Lora"/>
          <w:b/>
          <w:bCs/>
          <w:color w:val="31595C" w:themeColor="accent1"/>
          <w:szCs w:val="20"/>
        </w:rPr>
        <w:t>Assurer la transparence de leurs interventions</w:t>
      </w:r>
      <w:r w:rsidRPr="71D30AF0">
        <w:rPr>
          <w:rFonts w:eastAsia="Lora" w:cs="Lora"/>
          <w:color w:val="31595C" w:themeColor="accent1"/>
          <w:szCs w:val="20"/>
        </w:rPr>
        <w:t>, en communiquant clairement les mandats et engagements de la Fondation.</w:t>
      </w:r>
    </w:p>
    <w:p w14:paraId="0F0FFCDB" w14:textId="16C5A86C" w:rsidR="483C7E65" w:rsidRDefault="483C7E65" w:rsidP="71D30AF0">
      <w:pPr>
        <w:pStyle w:val="Paragraphedeliste"/>
        <w:numPr>
          <w:ilvl w:val="0"/>
          <w:numId w:val="16"/>
        </w:numPr>
        <w:spacing w:before="240" w:after="400"/>
        <w:jc w:val="both"/>
        <w:rPr>
          <w:rFonts w:eastAsia="Lora" w:cs="Lora"/>
          <w:color w:val="31595C" w:themeColor="accent1"/>
          <w:szCs w:val="20"/>
        </w:rPr>
      </w:pPr>
      <w:r w:rsidRPr="71D30AF0">
        <w:rPr>
          <w:rFonts w:eastAsia="Lora" w:cs="Lora"/>
          <w:b/>
          <w:bCs/>
          <w:color w:val="31595C" w:themeColor="accent1"/>
          <w:szCs w:val="20"/>
        </w:rPr>
        <w:t>Éviter la participation à des événements ou collaborations qui ne sont pas alignés avec nos principes éthiques</w:t>
      </w:r>
      <w:r w:rsidRPr="71D30AF0">
        <w:rPr>
          <w:rFonts w:eastAsia="Lora" w:cs="Lora"/>
          <w:color w:val="31595C" w:themeColor="accent1"/>
          <w:szCs w:val="20"/>
        </w:rPr>
        <w:t xml:space="preserve"> ou qui risquent de perpétuer des dynamiques d’exclusion, d’extractivisme ou de blanchiment d’impact ("impact washing").</w:t>
      </w:r>
    </w:p>
    <w:p w14:paraId="1CFF7D58" w14:textId="2888DDA2" w:rsidR="483C7E65" w:rsidRDefault="483C7E65" w:rsidP="71D30AF0">
      <w:pPr>
        <w:pStyle w:val="Paragraphedeliste"/>
        <w:numPr>
          <w:ilvl w:val="0"/>
          <w:numId w:val="16"/>
        </w:numPr>
        <w:spacing w:before="240" w:after="400"/>
        <w:jc w:val="both"/>
        <w:rPr>
          <w:rFonts w:eastAsia="Lora" w:cs="Lora"/>
          <w:color w:val="31595C" w:themeColor="accent1"/>
          <w:szCs w:val="20"/>
        </w:rPr>
      </w:pPr>
      <w:r w:rsidRPr="71D30AF0">
        <w:rPr>
          <w:rFonts w:eastAsia="Lora" w:cs="Lora"/>
          <w:b/>
          <w:bCs/>
          <w:color w:val="31595C" w:themeColor="accent1"/>
          <w:szCs w:val="20"/>
        </w:rPr>
        <w:t>Favoriser des espaces de dialogue ouverts et inclusifs</w:t>
      </w:r>
      <w:r w:rsidRPr="71D30AF0">
        <w:rPr>
          <w:rFonts w:eastAsia="Lora" w:cs="Lora"/>
          <w:color w:val="31595C" w:themeColor="accent1"/>
          <w:szCs w:val="20"/>
        </w:rPr>
        <w:t>, où les voix marginalisées sont mises de l’avant et où la représentation de la Fondation sert à appuyer des changements systémiques durables.</w:t>
      </w:r>
    </w:p>
    <w:p w14:paraId="2C14EE50" w14:textId="7EDDA503" w:rsidR="483C7E65" w:rsidRDefault="483C7E65" w:rsidP="71D30AF0">
      <w:pPr>
        <w:pStyle w:val="Paragraphedeliste"/>
        <w:numPr>
          <w:ilvl w:val="0"/>
          <w:numId w:val="16"/>
        </w:numPr>
        <w:spacing w:before="240" w:after="400"/>
        <w:jc w:val="both"/>
        <w:rPr>
          <w:rFonts w:eastAsia="Lora" w:cs="Lora"/>
          <w:color w:val="31595C" w:themeColor="accent1"/>
          <w:szCs w:val="20"/>
        </w:rPr>
      </w:pPr>
      <w:r w:rsidRPr="71D30AF0">
        <w:rPr>
          <w:rFonts w:eastAsia="Lora" w:cs="Lora"/>
          <w:b/>
          <w:bCs/>
          <w:color w:val="31595C" w:themeColor="accent1"/>
          <w:szCs w:val="20"/>
        </w:rPr>
        <w:t>Diversifier les prises de parole au-delà de la direction générale</w:t>
      </w:r>
      <w:r w:rsidRPr="71D30AF0">
        <w:rPr>
          <w:rFonts w:eastAsia="Lora" w:cs="Lora"/>
          <w:color w:val="31595C" w:themeColor="accent1"/>
          <w:szCs w:val="20"/>
        </w:rPr>
        <w:t xml:space="preserve">, en veillant à ce que l’ensemble des personnes de l’équipe ait l’opportunité de prendre part à des représentations externes, selon leurs expertises et leurs intérêts. Un effort soutenu sera fait pour encourager une </w:t>
      </w:r>
      <w:r w:rsidRPr="71D30AF0">
        <w:rPr>
          <w:rFonts w:eastAsia="Lora" w:cs="Lora"/>
          <w:b/>
          <w:bCs/>
          <w:color w:val="31595C" w:themeColor="accent1"/>
          <w:szCs w:val="20"/>
        </w:rPr>
        <w:t>représentation plurielle et inclusive</w:t>
      </w:r>
      <w:r w:rsidRPr="71D30AF0">
        <w:rPr>
          <w:rFonts w:eastAsia="Lora" w:cs="Lora"/>
          <w:color w:val="31595C" w:themeColor="accent1"/>
          <w:szCs w:val="20"/>
        </w:rPr>
        <w:t>, valorisant la diversité des perspectives au sein de la Fondation.</w:t>
      </w:r>
    </w:p>
    <w:p w14:paraId="33E97231" w14:textId="0592F7E2" w:rsidR="483C7E65" w:rsidRDefault="483C7E65" w:rsidP="71D30AF0">
      <w:pPr>
        <w:pStyle w:val="Titre2"/>
        <w:rPr>
          <w:rFonts w:ascii="Rockwell" w:eastAsia="Rockwell" w:hAnsi="Rockwell" w:cs="Rockwell"/>
          <w:bCs/>
          <w:color w:val="287FA5"/>
          <w:szCs w:val="28"/>
        </w:rPr>
      </w:pPr>
      <w:bookmarkStart w:id="92" w:name="_Toc876569934"/>
      <w:bookmarkStart w:id="93" w:name="_Toc223443569"/>
      <w:r w:rsidRPr="71D30AF0">
        <w:lastRenderedPageBreak/>
        <w:t>Reconnaissance et soutien</w:t>
      </w:r>
      <w:bookmarkEnd w:id="92"/>
      <w:bookmarkEnd w:id="93"/>
    </w:p>
    <w:p w14:paraId="50B0208D" w14:textId="66D76E62"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La Fondation reconnaît que la participation à des activités de représentation est une composante essentielle du travail des personnes employées. Ainsi, ces activités sont comptabilisées comme temps de travail et sont valorisées dans le développement professionnel </w:t>
      </w:r>
      <w:proofErr w:type="gramStart"/>
      <w:r w:rsidRPr="71D30AF0">
        <w:rPr>
          <w:rFonts w:eastAsia="Lora" w:cs="Lora"/>
          <w:color w:val="000000" w:themeColor="text1"/>
          <w:szCs w:val="20"/>
        </w:rPr>
        <w:t>des employé</w:t>
      </w:r>
      <w:proofErr w:type="gramEnd"/>
      <w:r w:rsidRPr="71D30AF0">
        <w:rPr>
          <w:rFonts w:eastAsia="Lora" w:cs="Lora"/>
          <w:color w:val="000000" w:themeColor="text1"/>
          <w:szCs w:val="20"/>
        </w:rPr>
        <w:t>.e.s.</w:t>
      </w:r>
    </w:p>
    <w:p w14:paraId="1481C46A" w14:textId="29D3C2C5" w:rsidR="71D30AF0" w:rsidRDefault="71D30AF0" w:rsidP="71D30AF0">
      <w:pPr>
        <w:jc w:val="both"/>
        <w:rPr>
          <w:rFonts w:eastAsia="Lora" w:cs="Lora"/>
          <w:color w:val="000000" w:themeColor="text1"/>
          <w:szCs w:val="20"/>
        </w:rPr>
      </w:pPr>
    </w:p>
    <w:p w14:paraId="4BA4C852" w14:textId="6F9264A2"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De plus, pour assurer une participation équitable, les coûts liés aux déplacements, hébergements et autres dépenses encourues dans le cadre de ces représentations sont remboursés selon la </w:t>
      </w:r>
      <w:r w:rsidRPr="71D30AF0">
        <w:rPr>
          <w:rFonts w:eastAsia="Lora" w:cs="Lora"/>
          <w:b/>
          <w:bCs/>
          <w:color w:val="000000" w:themeColor="text1"/>
          <w:szCs w:val="20"/>
        </w:rPr>
        <w:t>Politique de remboursement des dépenses</w:t>
      </w:r>
      <w:r w:rsidRPr="71D30AF0">
        <w:rPr>
          <w:rFonts w:eastAsia="Lora" w:cs="Lora"/>
          <w:color w:val="000000" w:themeColor="text1"/>
          <w:szCs w:val="20"/>
        </w:rPr>
        <w:t xml:space="preserve"> en vigueur.</w:t>
      </w:r>
    </w:p>
    <w:p w14:paraId="25224101" w14:textId="12585454" w:rsidR="71D30AF0" w:rsidRDefault="71D30AF0" w:rsidP="71D30AF0">
      <w:pPr>
        <w:jc w:val="both"/>
        <w:rPr>
          <w:rFonts w:eastAsia="Lora" w:cs="Lora"/>
          <w:color w:val="000000" w:themeColor="text1"/>
          <w:szCs w:val="20"/>
        </w:rPr>
      </w:pPr>
    </w:p>
    <w:p w14:paraId="6A8AD2BF" w14:textId="042B0034"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Enfin, la Fondation s’engage à offrir des espaces de </w:t>
      </w:r>
      <w:r w:rsidRPr="71D30AF0">
        <w:rPr>
          <w:rFonts w:eastAsia="Lora" w:cs="Lora"/>
          <w:b/>
          <w:bCs/>
          <w:color w:val="000000" w:themeColor="text1"/>
          <w:szCs w:val="20"/>
        </w:rPr>
        <w:t>préparation, de rétroaction et de soutien</w:t>
      </w:r>
      <w:r w:rsidRPr="71D30AF0">
        <w:rPr>
          <w:rFonts w:eastAsia="Lora" w:cs="Lora"/>
          <w:color w:val="000000" w:themeColor="text1"/>
          <w:szCs w:val="20"/>
        </w:rPr>
        <w:t xml:space="preserve"> </w:t>
      </w:r>
      <w:proofErr w:type="gramStart"/>
      <w:r w:rsidRPr="71D30AF0">
        <w:rPr>
          <w:rFonts w:eastAsia="Lora" w:cs="Lora"/>
          <w:color w:val="000000" w:themeColor="text1"/>
          <w:szCs w:val="20"/>
        </w:rPr>
        <w:t>aux employé</w:t>
      </w:r>
      <w:proofErr w:type="gramEnd"/>
      <w:r w:rsidRPr="71D30AF0">
        <w:rPr>
          <w:rFonts w:eastAsia="Lora" w:cs="Lora"/>
          <w:color w:val="000000" w:themeColor="text1"/>
          <w:szCs w:val="20"/>
        </w:rPr>
        <w:t>.</w:t>
      </w:r>
      <w:proofErr w:type="gramStart"/>
      <w:r w:rsidRPr="71D30AF0">
        <w:rPr>
          <w:rFonts w:eastAsia="Lora" w:cs="Lora"/>
          <w:color w:val="000000" w:themeColor="text1"/>
          <w:szCs w:val="20"/>
        </w:rPr>
        <w:t>e.s</w:t>
      </w:r>
      <w:proofErr w:type="gramEnd"/>
      <w:r w:rsidRPr="71D30AF0">
        <w:rPr>
          <w:rFonts w:eastAsia="Lora" w:cs="Lora"/>
          <w:color w:val="000000" w:themeColor="text1"/>
          <w:szCs w:val="20"/>
        </w:rPr>
        <w:t xml:space="preserve"> impliqué.</w:t>
      </w:r>
      <w:proofErr w:type="gramStart"/>
      <w:r w:rsidRPr="71D30AF0">
        <w:rPr>
          <w:rFonts w:eastAsia="Lora" w:cs="Lora"/>
          <w:color w:val="000000" w:themeColor="text1"/>
          <w:szCs w:val="20"/>
        </w:rPr>
        <w:t>e.s</w:t>
      </w:r>
      <w:proofErr w:type="gramEnd"/>
      <w:r w:rsidRPr="71D30AF0">
        <w:rPr>
          <w:rFonts w:eastAsia="Lora" w:cs="Lora"/>
          <w:color w:val="000000" w:themeColor="text1"/>
          <w:szCs w:val="20"/>
        </w:rPr>
        <w:t xml:space="preserve"> dans des prises de parole ou des démarches de représentation, afin d’assurer une démarche alignée avec nos valeurs et nos engagements.</w:t>
      </w:r>
    </w:p>
    <w:p w14:paraId="4DF3943B" w14:textId="643AF813" w:rsidR="7DF8A131" w:rsidRDefault="7DF8A131" w:rsidP="71D30AF0">
      <w:pPr>
        <w:pStyle w:val="Titre1"/>
      </w:pPr>
      <w:bookmarkStart w:id="94" w:name="_Toc1891482711"/>
      <w:bookmarkStart w:id="95" w:name="_Toc223443570"/>
      <w:r w:rsidRPr="71D30AF0">
        <w:t xml:space="preserve">15| </w:t>
      </w:r>
      <w:r w:rsidR="483C7E65" w:rsidRPr="71D30AF0">
        <w:t>Formation</w:t>
      </w:r>
      <w:bookmarkEnd w:id="94"/>
      <w:bookmarkEnd w:id="95"/>
      <w:r w:rsidR="483C7E65" w:rsidRPr="71D30AF0">
        <w:t xml:space="preserve"> </w:t>
      </w:r>
    </w:p>
    <w:p w14:paraId="74D22EDD" w14:textId="6B566D49" w:rsidR="483C7E65" w:rsidRDefault="483C7E65" w:rsidP="71D30AF0">
      <w:pPr>
        <w:jc w:val="both"/>
        <w:rPr>
          <w:rFonts w:eastAsia="Lora" w:cs="Lora"/>
          <w:color w:val="000000" w:themeColor="text1"/>
          <w:szCs w:val="20"/>
        </w:rPr>
      </w:pPr>
      <w:r w:rsidRPr="71D30AF0">
        <w:rPr>
          <w:rFonts w:eastAsia="Lora" w:cs="Lora"/>
          <w:color w:val="000000" w:themeColor="text1"/>
          <w:szCs w:val="20"/>
        </w:rPr>
        <w:t>À la Fondation Béati, nous considérons que l’apprentissage continu est une composante essentielle du travail et un levier de transformation sociale. Dans une logique d’</w:t>
      </w:r>
      <w:r w:rsidRPr="71D30AF0">
        <w:rPr>
          <w:rFonts w:eastAsia="Lora" w:cs="Lora"/>
          <w:b/>
          <w:bCs/>
          <w:color w:val="000000" w:themeColor="text1"/>
          <w:szCs w:val="20"/>
        </w:rPr>
        <w:t>organisation apprenante</w:t>
      </w:r>
      <w:r w:rsidRPr="71D30AF0">
        <w:rPr>
          <w:rFonts w:eastAsia="Lora" w:cs="Lora"/>
          <w:color w:val="000000" w:themeColor="text1"/>
          <w:szCs w:val="20"/>
        </w:rPr>
        <w:t>, nous valorisons le développement des savoirs, savoir-être et savoir-faire comme un processus collectif et évolutif. Notre engagement envers l’</w:t>
      </w:r>
      <w:r w:rsidRPr="71D30AF0">
        <w:rPr>
          <w:rFonts w:eastAsia="Lora" w:cs="Lora"/>
          <w:b/>
          <w:bCs/>
          <w:color w:val="000000" w:themeColor="text1"/>
          <w:szCs w:val="20"/>
        </w:rPr>
        <w:t>autonomisation</w:t>
      </w:r>
      <w:r w:rsidRPr="71D30AF0">
        <w:rPr>
          <w:rFonts w:eastAsia="Lora" w:cs="Lora"/>
          <w:color w:val="000000" w:themeColor="text1"/>
          <w:szCs w:val="20"/>
        </w:rPr>
        <w:t>, l’</w:t>
      </w:r>
      <w:r w:rsidRPr="71D30AF0">
        <w:rPr>
          <w:rFonts w:eastAsia="Lora" w:cs="Lora"/>
          <w:b/>
          <w:bCs/>
          <w:color w:val="000000" w:themeColor="text1"/>
          <w:szCs w:val="20"/>
        </w:rPr>
        <w:t>équité</w:t>
      </w:r>
      <w:r w:rsidRPr="71D30AF0">
        <w:rPr>
          <w:rFonts w:eastAsia="Lora" w:cs="Lora"/>
          <w:color w:val="000000" w:themeColor="text1"/>
          <w:szCs w:val="20"/>
        </w:rPr>
        <w:t xml:space="preserve"> et la </w:t>
      </w:r>
      <w:r w:rsidRPr="71D30AF0">
        <w:rPr>
          <w:rFonts w:eastAsia="Lora" w:cs="Lora"/>
          <w:b/>
          <w:bCs/>
          <w:color w:val="000000" w:themeColor="text1"/>
          <w:szCs w:val="20"/>
        </w:rPr>
        <w:t>justice sociale</w:t>
      </w:r>
      <w:r w:rsidRPr="71D30AF0">
        <w:rPr>
          <w:rFonts w:eastAsia="Lora" w:cs="Lora"/>
          <w:color w:val="000000" w:themeColor="text1"/>
          <w:szCs w:val="20"/>
        </w:rPr>
        <w:t xml:space="preserve"> se traduit par un soutien actif à la formation et à l’autoéducation des personnes de l’équipe.</w:t>
      </w:r>
    </w:p>
    <w:p w14:paraId="4027EE18" w14:textId="33C7998E" w:rsidR="71D30AF0" w:rsidRDefault="71D30AF0" w:rsidP="71D30AF0">
      <w:pPr>
        <w:jc w:val="both"/>
        <w:rPr>
          <w:rFonts w:eastAsia="Lora" w:cs="Lora"/>
          <w:color w:val="000000" w:themeColor="text1"/>
          <w:szCs w:val="20"/>
        </w:rPr>
      </w:pPr>
    </w:p>
    <w:p w14:paraId="494F29A1" w14:textId="1318A7AE"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Ainsi, la Fondation encourage la participation à des </w:t>
      </w:r>
      <w:r w:rsidRPr="71D30AF0">
        <w:rPr>
          <w:rFonts w:eastAsia="Lora" w:cs="Lora"/>
          <w:b/>
          <w:bCs/>
          <w:color w:val="000000" w:themeColor="text1"/>
          <w:szCs w:val="20"/>
        </w:rPr>
        <w:t>espaces de transmission et de croisement des savoirs</w:t>
      </w:r>
      <w:r w:rsidRPr="71D30AF0">
        <w:rPr>
          <w:rFonts w:eastAsia="Lora" w:cs="Lora"/>
          <w:color w:val="000000" w:themeColor="text1"/>
          <w:szCs w:val="20"/>
        </w:rPr>
        <w:t>, favorisant des apprentissages accessibles et ancrés dans les réalités sociales, environnementales et communautaires.</w:t>
      </w:r>
    </w:p>
    <w:p w14:paraId="3DE7C7B0" w14:textId="41CE0391" w:rsidR="483C7E65" w:rsidRDefault="483C7E65" w:rsidP="71D30AF0">
      <w:pPr>
        <w:pStyle w:val="Titre2"/>
        <w:rPr>
          <w:rFonts w:ascii="Rockwell" w:eastAsia="Rockwell" w:hAnsi="Rockwell" w:cs="Rockwell"/>
          <w:bCs/>
          <w:color w:val="287FA5"/>
          <w:szCs w:val="28"/>
        </w:rPr>
      </w:pPr>
      <w:bookmarkStart w:id="96" w:name="_Toc802958562"/>
      <w:bookmarkStart w:id="97" w:name="_Toc223443571"/>
      <w:r w:rsidRPr="71D30AF0">
        <w:t>Modalités et accès aux formations</w:t>
      </w:r>
      <w:bookmarkEnd w:id="96"/>
      <w:bookmarkEnd w:id="97"/>
    </w:p>
    <w:p w14:paraId="5DC4192D" w14:textId="1E89AAA4"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Les besoins en formation sont définis de manière </w:t>
      </w:r>
      <w:r w:rsidRPr="71D30AF0">
        <w:rPr>
          <w:rFonts w:eastAsia="Lora" w:cs="Lora"/>
          <w:b/>
          <w:bCs/>
          <w:color w:val="000000" w:themeColor="text1"/>
          <w:szCs w:val="20"/>
        </w:rPr>
        <w:t>collaborative</w:t>
      </w:r>
      <w:r w:rsidRPr="71D30AF0">
        <w:rPr>
          <w:rFonts w:eastAsia="Lora" w:cs="Lora"/>
          <w:color w:val="000000" w:themeColor="text1"/>
          <w:szCs w:val="20"/>
        </w:rPr>
        <w:t>, en croisant les intérêts individuels, les besoins collectifs et les objectifs organisationnels. La Fondation soutient un large éventail d’opportunités d’apprentissage, notamment :</w:t>
      </w:r>
    </w:p>
    <w:p w14:paraId="5704E9C7" w14:textId="02EA867D" w:rsidR="483C7E65" w:rsidRDefault="483C7E65" w:rsidP="71D30AF0">
      <w:pPr>
        <w:pStyle w:val="Paragraphedeliste"/>
        <w:numPr>
          <w:ilvl w:val="0"/>
          <w:numId w:val="14"/>
        </w:numPr>
        <w:spacing w:before="240" w:after="400"/>
        <w:jc w:val="both"/>
        <w:rPr>
          <w:rFonts w:eastAsia="Lora" w:cs="Lora"/>
          <w:color w:val="31595C" w:themeColor="accent1"/>
          <w:szCs w:val="20"/>
        </w:rPr>
      </w:pPr>
      <w:r w:rsidRPr="71D30AF0">
        <w:rPr>
          <w:rFonts w:eastAsia="Lora" w:cs="Lora"/>
          <w:b/>
          <w:bCs/>
          <w:color w:val="31595C" w:themeColor="accent1"/>
          <w:szCs w:val="20"/>
        </w:rPr>
        <w:t>Cours, formations et certifications</w:t>
      </w:r>
      <w:r w:rsidRPr="71D30AF0">
        <w:rPr>
          <w:rFonts w:eastAsia="Lora" w:cs="Lora"/>
          <w:color w:val="31595C" w:themeColor="accent1"/>
          <w:szCs w:val="20"/>
        </w:rPr>
        <w:t xml:space="preserve"> adaptés aux missions des employé.e.s.</w:t>
      </w:r>
    </w:p>
    <w:p w14:paraId="32AB8569" w14:textId="210BB358" w:rsidR="483C7E65" w:rsidRDefault="483C7E65" w:rsidP="71D30AF0">
      <w:pPr>
        <w:pStyle w:val="Paragraphedeliste"/>
        <w:numPr>
          <w:ilvl w:val="0"/>
          <w:numId w:val="14"/>
        </w:numPr>
        <w:spacing w:before="240" w:after="400"/>
        <w:jc w:val="both"/>
        <w:rPr>
          <w:rFonts w:eastAsia="Lora" w:cs="Lora"/>
          <w:color w:val="31595C" w:themeColor="accent1"/>
          <w:szCs w:val="20"/>
        </w:rPr>
      </w:pPr>
      <w:r w:rsidRPr="71D30AF0">
        <w:rPr>
          <w:rFonts w:eastAsia="Lora" w:cs="Lora"/>
          <w:b/>
          <w:bCs/>
          <w:color w:val="31595C" w:themeColor="accent1"/>
          <w:szCs w:val="20"/>
        </w:rPr>
        <w:t>Participation à des colloques, conférences et événements thématiques</w:t>
      </w:r>
      <w:r w:rsidRPr="71D30AF0">
        <w:rPr>
          <w:rFonts w:eastAsia="Lora" w:cs="Lora"/>
          <w:color w:val="31595C" w:themeColor="accent1"/>
          <w:szCs w:val="20"/>
        </w:rPr>
        <w:t xml:space="preserve">, qui peuvent être considérés comme des </w:t>
      </w:r>
      <w:r w:rsidRPr="71D30AF0">
        <w:rPr>
          <w:rFonts w:eastAsia="Lora" w:cs="Lora"/>
          <w:b/>
          <w:bCs/>
          <w:color w:val="31595C" w:themeColor="accent1"/>
          <w:szCs w:val="20"/>
        </w:rPr>
        <w:t>temps de formation</w:t>
      </w:r>
      <w:r w:rsidRPr="71D30AF0">
        <w:rPr>
          <w:rFonts w:eastAsia="Lora" w:cs="Lora"/>
          <w:color w:val="31595C" w:themeColor="accent1"/>
          <w:szCs w:val="20"/>
        </w:rPr>
        <w:t xml:space="preserve"> lorsque ces espaces favorisent l’acquisition de nouvelles compétences ou approfondissent des connaissances pertinentes pour le travail.</w:t>
      </w:r>
    </w:p>
    <w:p w14:paraId="08C1D6C0" w14:textId="327EFECA" w:rsidR="483C7E65" w:rsidRDefault="483C7E65" w:rsidP="71D30AF0">
      <w:pPr>
        <w:pStyle w:val="Paragraphedeliste"/>
        <w:numPr>
          <w:ilvl w:val="0"/>
          <w:numId w:val="14"/>
        </w:numPr>
        <w:spacing w:before="240" w:after="400"/>
        <w:jc w:val="both"/>
        <w:rPr>
          <w:rFonts w:eastAsia="Lora" w:cs="Lora"/>
          <w:color w:val="31595C" w:themeColor="accent1"/>
          <w:szCs w:val="20"/>
        </w:rPr>
      </w:pPr>
      <w:r w:rsidRPr="71D30AF0">
        <w:rPr>
          <w:rFonts w:eastAsia="Lora" w:cs="Lora"/>
          <w:color w:val="31595C" w:themeColor="accent1"/>
          <w:szCs w:val="20"/>
        </w:rPr>
        <w:t>Achat de livres, publications et ressources éducatives.</w:t>
      </w:r>
    </w:p>
    <w:p w14:paraId="5DEC702C" w14:textId="1D02C76B" w:rsidR="483C7E65" w:rsidRDefault="483C7E65" w:rsidP="71D30AF0">
      <w:pPr>
        <w:pStyle w:val="Paragraphedeliste"/>
        <w:numPr>
          <w:ilvl w:val="0"/>
          <w:numId w:val="14"/>
        </w:numPr>
        <w:spacing w:before="240" w:after="400"/>
        <w:jc w:val="both"/>
        <w:rPr>
          <w:rFonts w:eastAsia="Lora" w:cs="Lora"/>
          <w:color w:val="31595C" w:themeColor="accent1"/>
          <w:szCs w:val="20"/>
        </w:rPr>
      </w:pPr>
      <w:r w:rsidRPr="71D30AF0">
        <w:rPr>
          <w:rFonts w:eastAsia="Lora" w:cs="Lora"/>
          <w:color w:val="31595C" w:themeColor="accent1"/>
          <w:szCs w:val="20"/>
        </w:rPr>
        <w:t>Ateliers, échanges intersectoriels et formations expérientielles en lien avec la mission de la Fondation.</w:t>
      </w:r>
    </w:p>
    <w:p w14:paraId="631D1099" w14:textId="08DDFC49"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Lorsque l’ensemble des personnes de l’équipe en exprime unanimement l’accord, certaines formations internes peuvent être </w:t>
      </w:r>
      <w:r w:rsidRPr="71D30AF0">
        <w:rPr>
          <w:rFonts w:eastAsia="Lora" w:cs="Lora"/>
          <w:b/>
          <w:bCs/>
          <w:color w:val="000000" w:themeColor="text1"/>
          <w:szCs w:val="20"/>
        </w:rPr>
        <w:t>ouvertes aux organisations soutenues par la Fondation</w:t>
      </w:r>
      <w:r w:rsidRPr="71D30AF0">
        <w:rPr>
          <w:rFonts w:eastAsia="Lora" w:cs="Lora"/>
          <w:color w:val="000000" w:themeColor="text1"/>
          <w:szCs w:val="20"/>
        </w:rPr>
        <w:t xml:space="preserve">, dans une optique de </w:t>
      </w:r>
      <w:r w:rsidRPr="71D30AF0">
        <w:rPr>
          <w:rFonts w:eastAsia="Lora" w:cs="Lora"/>
          <w:b/>
          <w:bCs/>
          <w:color w:val="000000" w:themeColor="text1"/>
          <w:szCs w:val="20"/>
        </w:rPr>
        <w:t>partage de privilèges et de redistribution des savoirs</w:t>
      </w:r>
      <w:r w:rsidRPr="71D30AF0">
        <w:rPr>
          <w:rFonts w:eastAsia="Lora" w:cs="Lora"/>
          <w:color w:val="000000" w:themeColor="text1"/>
          <w:szCs w:val="20"/>
        </w:rPr>
        <w:t xml:space="preserve">. Cette démarche </w:t>
      </w:r>
      <w:r w:rsidRPr="71D30AF0">
        <w:rPr>
          <w:rFonts w:eastAsia="Lora" w:cs="Lora"/>
          <w:color w:val="000000" w:themeColor="text1"/>
          <w:szCs w:val="20"/>
        </w:rPr>
        <w:lastRenderedPageBreak/>
        <w:t>vise à rendre nos apprentissages accessibles à celles et ceux qui œuvrent directement sur le terrain et à renforcer nos liens avec les communautés que nous accompagnons.</w:t>
      </w:r>
    </w:p>
    <w:p w14:paraId="05CB4E18" w14:textId="14C30F59" w:rsidR="483C7E65" w:rsidRDefault="483C7E65" w:rsidP="71D30AF0">
      <w:pPr>
        <w:pStyle w:val="Titre2"/>
        <w:rPr>
          <w:rFonts w:ascii="Rockwell" w:eastAsia="Rockwell" w:hAnsi="Rockwell" w:cs="Rockwell"/>
          <w:bCs/>
          <w:color w:val="287FA5"/>
          <w:szCs w:val="28"/>
        </w:rPr>
      </w:pPr>
      <w:bookmarkStart w:id="98" w:name="_Toc2037020678"/>
      <w:bookmarkStart w:id="99" w:name="_Toc223443572"/>
      <w:r w:rsidRPr="71D30AF0">
        <w:t>Engagement financier et accessibilité</w:t>
      </w:r>
      <w:bookmarkEnd w:id="98"/>
      <w:bookmarkEnd w:id="99"/>
    </w:p>
    <w:p w14:paraId="7E58C152" w14:textId="3AE6EA4C" w:rsidR="483C7E65" w:rsidRDefault="483C7E65" w:rsidP="71D30AF0">
      <w:pPr>
        <w:jc w:val="both"/>
        <w:rPr>
          <w:rFonts w:eastAsia="Lora" w:cs="Lora"/>
          <w:color w:val="000000" w:themeColor="text1"/>
          <w:szCs w:val="20"/>
        </w:rPr>
      </w:pPr>
      <w:r w:rsidRPr="71D30AF0">
        <w:rPr>
          <w:rFonts w:eastAsia="Lora" w:cs="Lora"/>
          <w:color w:val="000000" w:themeColor="text1"/>
          <w:szCs w:val="20"/>
        </w:rPr>
        <w:t>Pour assurer un accès équitable et structuré à ces ressources, la Fondation :</w:t>
      </w:r>
    </w:p>
    <w:p w14:paraId="106B76BE" w14:textId="2CF9D707" w:rsidR="483C7E65" w:rsidRDefault="483C7E65" w:rsidP="71D30AF0">
      <w:pPr>
        <w:pStyle w:val="Paragraphedeliste"/>
        <w:numPr>
          <w:ilvl w:val="0"/>
          <w:numId w:val="13"/>
        </w:numPr>
        <w:spacing w:before="240" w:after="400"/>
        <w:jc w:val="both"/>
        <w:rPr>
          <w:rFonts w:eastAsia="Lora" w:cs="Lora"/>
          <w:color w:val="31595C" w:themeColor="accent1"/>
          <w:szCs w:val="20"/>
        </w:rPr>
      </w:pPr>
      <w:r w:rsidRPr="71D30AF0">
        <w:rPr>
          <w:rFonts w:eastAsia="Lora" w:cs="Lora"/>
          <w:color w:val="31595C" w:themeColor="accent1"/>
          <w:szCs w:val="20"/>
        </w:rPr>
        <w:t>Réserve 1 % de la masse salariale au budget de formation.</w:t>
      </w:r>
    </w:p>
    <w:p w14:paraId="441410F5" w14:textId="12D85907" w:rsidR="483C7E65" w:rsidRDefault="483C7E65" w:rsidP="71D30AF0">
      <w:pPr>
        <w:pStyle w:val="Paragraphedeliste"/>
        <w:numPr>
          <w:ilvl w:val="0"/>
          <w:numId w:val="13"/>
        </w:numPr>
        <w:spacing w:before="240" w:after="400"/>
        <w:jc w:val="both"/>
        <w:rPr>
          <w:rFonts w:eastAsia="Lora" w:cs="Lora"/>
          <w:color w:val="31595C" w:themeColor="accent1"/>
          <w:szCs w:val="20"/>
        </w:rPr>
      </w:pPr>
      <w:r w:rsidRPr="71D30AF0">
        <w:rPr>
          <w:rFonts w:eastAsia="Lora" w:cs="Lora"/>
          <w:color w:val="31595C" w:themeColor="accent1"/>
          <w:szCs w:val="20"/>
        </w:rPr>
        <w:t xml:space="preserve">Ajoute un </w:t>
      </w:r>
      <w:r w:rsidRPr="71D30AF0">
        <w:rPr>
          <w:rFonts w:eastAsia="Lora" w:cs="Lora"/>
          <w:b/>
          <w:bCs/>
          <w:color w:val="31595C" w:themeColor="accent1"/>
          <w:szCs w:val="20"/>
        </w:rPr>
        <w:t>montant forfaitaire annuel de 1 000 $ à 2 000 $</w:t>
      </w:r>
      <w:r w:rsidRPr="71D30AF0">
        <w:rPr>
          <w:rFonts w:eastAsia="Lora" w:cs="Lora"/>
          <w:color w:val="31595C" w:themeColor="accent1"/>
          <w:szCs w:val="20"/>
        </w:rPr>
        <w:t>, réévalué annuellement et adopté lors du budget.</w:t>
      </w:r>
    </w:p>
    <w:p w14:paraId="5513481B" w14:textId="151326A7" w:rsidR="483C7E65" w:rsidRDefault="483C7E65" w:rsidP="71D30AF0">
      <w:pPr>
        <w:pStyle w:val="Paragraphedeliste"/>
        <w:numPr>
          <w:ilvl w:val="0"/>
          <w:numId w:val="13"/>
        </w:numPr>
        <w:spacing w:before="240" w:after="400"/>
        <w:jc w:val="both"/>
        <w:rPr>
          <w:rFonts w:eastAsia="Lora" w:cs="Lora"/>
          <w:color w:val="31595C" w:themeColor="accent1"/>
          <w:szCs w:val="20"/>
        </w:rPr>
      </w:pPr>
      <w:r w:rsidRPr="71D30AF0">
        <w:rPr>
          <w:rFonts w:eastAsia="Lora" w:cs="Lora"/>
          <w:color w:val="31595C" w:themeColor="accent1"/>
          <w:szCs w:val="20"/>
        </w:rPr>
        <w:t xml:space="preserve">S’engage à évaluer la possibilité de </w:t>
      </w:r>
      <w:r w:rsidRPr="71D30AF0">
        <w:rPr>
          <w:rFonts w:eastAsia="Lora" w:cs="Lora"/>
          <w:b/>
          <w:bCs/>
          <w:color w:val="31595C" w:themeColor="accent1"/>
          <w:szCs w:val="20"/>
        </w:rPr>
        <w:t>reporter le solde budgétaire non utilisé</w:t>
      </w:r>
      <w:r w:rsidRPr="71D30AF0">
        <w:rPr>
          <w:rFonts w:eastAsia="Lora" w:cs="Lora"/>
          <w:color w:val="31595C" w:themeColor="accent1"/>
          <w:szCs w:val="20"/>
        </w:rPr>
        <w:t xml:space="preserve"> d’une année financière à l’autre afin d’offrir une plus grande flexibilité dans l’accès aux formations.</w:t>
      </w:r>
    </w:p>
    <w:p w14:paraId="107F4E0A" w14:textId="2126467C" w:rsidR="483C7E65" w:rsidRDefault="483C7E65" w:rsidP="71D30AF0">
      <w:pPr>
        <w:pStyle w:val="Paragraphedeliste"/>
        <w:numPr>
          <w:ilvl w:val="0"/>
          <w:numId w:val="13"/>
        </w:numPr>
        <w:spacing w:before="240" w:after="400"/>
        <w:jc w:val="both"/>
        <w:rPr>
          <w:rFonts w:eastAsia="Lora" w:cs="Lora"/>
          <w:color w:val="31595C" w:themeColor="accent1"/>
          <w:szCs w:val="20"/>
        </w:rPr>
      </w:pPr>
      <w:r w:rsidRPr="71D30AF0">
        <w:rPr>
          <w:rFonts w:eastAsia="Lora" w:cs="Lora"/>
          <w:color w:val="31595C" w:themeColor="accent1"/>
          <w:szCs w:val="20"/>
        </w:rPr>
        <w:t>Lorsque cela est possible, alloue une partie du solde non utilisé aux personnes de l’équipe pour l’achat de livres et de ressources pédagogiques.</w:t>
      </w:r>
    </w:p>
    <w:p w14:paraId="72662550" w14:textId="21D6235D" w:rsidR="483C7E65" w:rsidRDefault="483C7E65" w:rsidP="71D30AF0">
      <w:pPr>
        <w:pStyle w:val="Titre2"/>
        <w:rPr>
          <w:rFonts w:ascii="Rockwell" w:eastAsia="Rockwell" w:hAnsi="Rockwell" w:cs="Rockwell"/>
          <w:bCs/>
          <w:color w:val="287FA5"/>
          <w:szCs w:val="28"/>
        </w:rPr>
      </w:pPr>
      <w:bookmarkStart w:id="100" w:name="_Toc1103965912"/>
      <w:bookmarkStart w:id="101" w:name="_Toc223443573"/>
      <w:r w:rsidRPr="71D30AF0">
        <w:t>Journées dédiées à la formation et à la réflexion critique</w:t>
      </w:r>
      <w:bookmarkEnd w:id="100"/>
      <w:bookmarkEnd w:id="101"/>
    </w:p>
    <w:p w14:paraId="1505322E" w14:textId="080938F1" w:rsidR="483C7E65" w:rsidRDefault="483C7E65" w:rsidP="71D30AF0">
      <w:pPr>
        <w:jc w:val="both"/>
        <w:rPr>
          <w:rFonts w:eastAsia="Lora" w:cs="Lora"/>
          <w:color w:val="000000" w:themeColor="text1"/>
          <w:szCs w:val="20"/>
        </w:rPr>
      </w:pPr>
      <w:r w:rsidRPr="71D30AF0">
        <w:rPr>
          <w:rFonts w:eastAsia="Lora" w:cs="Lora"/>
          <w:color w:val="000000" w:themeColor="text1"/>
          <w:szCs w:val="20"/>
        </w:rPr>
        <w:t>Dans une volonté de reconnaissance et de respect des luttes sociales et environnementales, la Fondation réserve certaines journées spécifiques à l’apprentissage, la mobilisation et la réflexion critique :</w:t>
      </w:r>
    </w:p>
    <w:p w14:paraId="2C3FD341" w14:textId="191C875B" w:rsidR="71D30AF0" w:rsidRDefault="71D30AF0" w:rsidP="71D30AF0">
      <w:pPr>
        <w:jc w:val="both"/>
        <w:rPr>
          <w:rFonts w:eastAsia="Lora" w:cs="Lora"/>
          <w:color w:val="000000" w:themeColor="text1"/>
          <w:szCs w:val="20"/>
        </w:rPr>
      </w:pPr>
    </w:p>
    <w:p w14:paraId="1A44D9B4" w14:textId="3EBC42A9" w:rsidR="483C7E65" w:rsidRDefault="483C7E65" w:rsidP="71D30AF0">
      <w:pPr>
        <w:keepNext/>
        <w:keepLines/>
        <w:spacing w:before="40"/>
        <w:jc w:val="both"/>
        <w:rPr>
          <w:rFonts w:ascii="Rockwell" w:eastAsia="Rockwell" w:hAnsi="Rockwell" w:cs="Rockwell"/>
          <w:color w:val="003A60"/>
          <w:sz w:val="26"/>
          <w:szCs w:val="26"/>
        </w:rPr>
      </w:pPr>
      <w:r w:rsidRPr="71D30AF0">
        <w:rPr>
          <w:rStyle w:val="Accentuationlgre"/>
        </w:rPr>
        <w:t>Journée nationale pour la vérité et réconciliation (30 septembre)</w:t>
      </w:r>
    </w:p>
    <w:p w14:paraId="22CB3525" w14:textId="12F155F4" w:rsidR="483C7E65" w:rsidRDefault="483C7E65" w:rsidP="71D30AF0">
      <w:pPr>
        <w:jc w:val="both"/>
        <w:rPr>
          <w:rFonts w:eastAsia="Lora" w:cs="Lora"/>
          <w:color w:val="000000" w:themeColor="text1"/>
          <w:szCs w:val="20"/>
        </w:rPr>
      </w:pPr>
      <w:r w:rsidRPr="71D30AF0">
        <w:rPr>
          <w:rFonts w:eastAsia="Lora" w:cs="Lora"/>
          <w:color w:val="000000" w:themeColor="text1"/>
          <w:szCs w:val="20"/>
        </w:rPr>
        <w:t>La Fondation réserve la journée du 30 septembre afin de favoriser la participation de l’équipe à des événements de commémoration, de formation, d’atelier et/ou festivités organisés par les communautés autochtones et/ou pour toute activité d’autoéducation relative à une meilleure compréhension des enjeux et réalités autochtones ou de réflexion sur notre propre rôle et responsabilités comme actrice philanthropique.</w:t>
      </w:r>
    </w:p>
    <w:p w14:paraId="2A0AF13A" w14:textId="77D88E17" w:rsidR="71D30AF0" w:rsidRDefault="71D30AF0" w:rsidP="71D30AF0">
      <w:pPr>
        <w:jc w:val="both"/>
        <w:rPr>
          <w:rFonts w:eastAsia="Lora" w:cs="Lora"/>
          <w:color w:val="000000" w:themeColor="text1"/>
          <w:szCs w:val="20"/>
        </w:rPr>
      </w:pPr>
    </w:p>
    <w:p w14:paraId="5237440F" w14:textId="042B1BAB" w:rsidR="483C7E65" w:rsidRDefault="483C7E65" w:rsidP="71D30AF0">
      <w:pPr>
        <w:keepNext/>
        <w:keepLines/>
        <w:spacing w:before="40"/>
        <w:jc w:val="both"/>
        <w:rPr>
          <w:rFonts w:ascii="Rockwell" w:eastAsia="Rockwell" w:hAnsi="Rockwell" w:cs="Rockwell"/>
          <w:b/>
          <w:bCs/>
          <w:color w:val="003960"/>
          <w:sz w:val="26"/>
          <w:szCs w:val="26"/>
        </w:rPr>
      </w:pPr>
      <w:r w:rsidRPr="71D30AF0">
        <w:rPr>
          <w:rStyle w:val="Accentuationlgre"/>
        </w:rPr>
        <w:t>Jour de la terre (22 avril)</w:t>
      </w:r>
    </w:p>
    <w:p w14:paraId="0E7F0CC6" w14:textId="04647A53" w:rsidR="483C7E65" w:rsidRDefault="483C7E65" w:rsidP="71D30AF0">
      <w:pPr>
        <w:jc w:val="both"/>
        <w:rPr>
          <w:rFonts w:eastAsia="Lora" w:cs="Lora"/>
          <w:color w:val="000000" w:themeColor="text1"/>
          <w:szCs w:val="20"/>
        </w:rPr>
      </w:pPr>
      <w:r w:rsidRPr="71D30AF0">
        <w:rPr>
          <w:rFonts w:eastAsia="Lora" w:cs="Lora"/>
          <w:color w:val="000000" w:themeColor="text1"/>
          <w:szCs w:val="20"/>
        </w:rPr>
        <w:t>La Fondation réserve la journée du 22 avril afin de favoriser la participation de l’équipe à des événements de mobilisation, de formation, d’atelier et/ou festivités organisés dans le cadre de cette journée et/ou pour toute activité d’autoéducation relative à une meilleure compréhension des enjeux et réalités de justice climatique ou de réflexion sur notre propre rôle et responsabilités comme actrice philanthropique.</w:t>
      </w:r>
    </w:p>
    <w:p w14:paraId="6A344619" w14:textId="69759CA5" w:rsidR="483C7E65" w:rsidRDefault="483C7E65" w:rsidP="71D30AF0">
      <w:pPr>
        <w:jc w:val="both"/>
        <w:rPr>
          <w:rFonts w:eastAsia="Lora" w:cs="Lora"/>
          <w:color w:val="000000" w:themeColor="text1"/>
          <w:szCs w:val="20"/>
        </w:rPr>
      </w:pPr>
      <w:r w:rsidRPr="71D30AF0">
        <w:rPr>
          <w:rFonts w:eastAsia="Lora" w:cs="Lora"/>
          <w:color w:val="000000" w:themeColor="text1"/>
          <w:szCs w:val="20"/>
        </w:rPr>
        <w:t>Ces journées sont déterminées pour les 5 prochaines années suivant l’adoption de la mise à jour de la</w:t>
      </w:r>
      <w:r w:rsidRPr="71D30AF0">
        <w:rPr>
          <w:rFonts w:eastAsia="Lora" w:cs="Lora"/>
          <w:color w:val="000000" w:themeColor="text1"/>
          <w:sz w:val="16"/>
          <w:szCs w:val="16"/>
        </w:rPr>
        <w:t xml:space="preserve"> </w:t>
      </w:r>
      <w:r w:rsidRPr="71D30AF0">
        <w:rPr>
          <w:rFonts w:eastAsia="Lora" w:cs="Lora"/>
          <w:color w:val="000000" w:themeColor="text1"/>
          <w:szCs w:val="20"/>
        </w:rPr>
        <w:t>présente politique. Les thématiques pourront être réévaluées lors des mises à jour.</w:t>
      </w:r>
    </w:p>
    <w:p w14:paraId="05224EF1" w14:textId="742B7577" w:rsidR="2439A64B" w:rsidRDefault="2439A64B" w:rsidP="71D30AF0">
      <w:pPr>
        <w:pStyle w:val="Titre1"/>
        <w:rPr>
          <w:rFonts w:ascii="Rockwell" w:eastAsia="Rockwell" w:hAnsi="Rockwell" w:cs="Rockwell"/>
          <w:bCs/>
          <w:color w:val="003A60"/>
          <w:sz w:val="36"/>
          <w:szCs w:val="36"/>
        </w:rPr>
      </w:pPr>
      <w:bookmarkStart w:id="102" w:name="_Toc1152992676"/>
      <w:bookmarkStart w:id="103" w:name="_Toc223443574"/>
      <w:r w:rsidRPr="71D30AF0">
        <w:t xml:space="preserve">16| </w:t>
      </w:r>
      <w:r w:rsidR="483C7E65" w:rsidRPr="71D30AF0">
        <w:t>Stagiaire</w:t>
      </w:r>
      <w:bookmarkEnd w:id="102"/>
      <w:bookmarkEnd w:id="103"/>
    </w:p>
    <w:p w14:paraId="265C46D1" w14:textId="4FDD91A7" w:rsidR="483C7E65" w:rsidRDefault="483C7E65" w:rsidP="71D30AF0">
      <w:pPr>
        <w:jc w:val="both"/>
        <w:rPr>
          <w:rFonts w:eastAsia="Lora" w:cs="Lora"/>
          <w:color w:val="000000" w:themeColor="text1"/>
          <w:szCs w:val="20"/>
        </w:rPr>
      </w:pPr>
      <w:r w:rsidRPr="71D30AF0">
        <w:rPr>
          <w:rFonts w:eastAsia="Lora" w:cs="Lora"/>
          <w:color w:val="000000" w:themeColor="text1"/>
          <w:szCs w:val="20"/>
        </w:rPr>
        <w:t>Béati favorise l’accueil de stagiaires au sein de son équipe. Elle s’engage à rémunérer et/ou prévoir un dédommagement pour les stagiaires (voir document en annexe).</w:t>
      </w:r>
      <w:r w:rsidRPr="71D30AF0">
        <w:rPr>
          <w:rFonts w:eastAsia="Lora" w:cs="Lora"/>
          <w:color w:val="000000" w:themeColor="text1"/>
          <w:szCs w:val="20"/>
          <w:vertAlign w:val="superscript"/>
        </w:rPr>
        <w:t>2</w:t>
      </w:r>
    </w:p>
    <w:p w14:paraId="00E0154E" w14:textId="0960ABBE" w:rsidR="6AC7D9FC" w:rsidRDefault="6AC7D9FC" w:rsidP="71D30AF0">
      <w:pPr>
        <w:pStyle w:val="Titre1"/>
      </w:pPr>
      <w:bookmarkStart w:id="104" w:name="_Toc1968534247"/>
      <w:bookmarkStart w:id="105" w:name="_Toc223443575"/>
      <w:r w:rsidRPr="71D30AF0">
        <w:lastRenderedPageBreak/>
        <w:t xml:space="preserve">17| </w:t>
      </w:r>
      <w:r w:rsidR="483C7E65" w:rsidRPr="71D30AF0">
        <w:t>Politique</w:t>
      </w:r>
      <w:r w:rsidR="4B6CDB23" w:rsidRPr="71D30AF0">
        <w:t xml:space="preserve"> de harcèlement psychologique, sexuel et violence</w:t>
      </w:r>
      <w:bookmarkEnd w:id="104"/>
      <w:bookmarkEnd w:id="105"/>
      <w:r w:rsidR="4B6CDB23" w:rsidRPr="71D30AF0">
        <w:t xml:space="preserve"> </w:t>
      </w:r>
    </w:p>
    <w:p w14:paraId="514BC612" w14:textId="5B267395"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Toutes les personnes employées sont invitées à prendre connaissance de la politique de prévention du harcèlement et de la violence au travail, en annexe. </w:t>
      </w:r>
    </w:p>
    <w:p w14:paraId="168156B1" w14:textId="010181C6" w:rsidR="494091DA" w:rsidRDefault="494091DA" w:rsidP="71D30AF0">
      <w:pPr>
        <w:pStyle w:val="Titre1"/>
        <w:rPr>
          <w:rFonts w:ascii="Rockwell" w:eastAsia="Rockwell" w:hAnsi="Rockwell" w:cs="Rockwell"/>
          <w:bCs/>
          <w:color w:val="003A60"/>
          <w:sz w:val="36"/>
          <w:szCs w:val="36"/>
        </w:rPr>
      </w:pPr>
      <w:bookmarkStart w:id="106" w:name="_Toc1377177094"/>
      <w:bookmarkStart w:id="107" w:name="_Toc223443576"/>
      <w:r w:rsidRPr="71D30AF0">
        <w:t xml:space="preserve">18| </w:t>
      </w:r>
      <w:r w:rsidR="483C7E65" w:rsidRPr="71D30AF0">
        <w:t>Politique de remboursement</w:t>
      </w:r>
      <w:bookmarkEnd w:id="106"/>
      <w:bookmarkEnd w:id="107"/>
      <w:r w:rsidR="483C7E65" w:rsidRPr="71D30AF0">
        <w:t xml:space="preserve"> </w:t>
      </w:r>
    </w:p>
    <w:p w14:paraId="59343ABF" w14:textId="22D7D60C" w:rsidR="483C7E65" w:rsidRDefault="483C7E65" w:rsidP="71D30AF0">
      <w:pPr>
        <w:jc w:val="both"/>
        <w:rPr>
          <w:rFonts w:eastAsia="Lora" w:cs="Lora"/>
          <w:color w:val="000000" w:themeColor="text1"/>
          <w:szCs w:val="20"/>
        </w:rPr>
      </w:pPr>
      <w:r w:rsidRPr="71D30AF0">
        <w:rPr>
          <w:rFonts w:eastAsia="Lora" w:cs="Lora"/>
          <w:color w:val="000000" w:themeColor="text1"/>
          <w:szCs w:val="20"/>
          <w:lang w:val="fr-FR"/>
        </w:rPr>
        <w:t xml:space="preserve">Pour les frais de déplacement, de représentation et d’hébergement, ainsi que toutes dépenses liées aux mandats au sein de la Fondation, se référer à la </w:t>
      </w:r>
      <w:r w:rsidRPr="71D30AF0">
        <w:rPr>
          <w:rFonts w:eastAsia="Lora" w:cs="Lora"/>
          <w:color w:val="000000" w:themeColor="text1"/>
          <w:szCs w:val="20"/>
        </w:rPr>
        <w:t xml:space="preserve">Politique de remboursement des dépenses en vigueur, en annexe. </w:t>
      </w:r>
    </w:p>
    <w:p w14:paraId="1FE031D3" w14:textId="38046C0D" w:rsidR="29596E93" w:rsidRDefault="29596E93" w:rsidP="71D30AF0">
      <w:pPr>
        <w:pStyle w:val="Titre1"/>
        <w:rPr>
          <w:rFonts w:ascii="Rockwell" w:eastAsia="Rockwell" w:hAnsi="Rockwell" w:cs="Rockwell"/>
          <w:bCs/>
          <w:color w:val="003A60"/>
          <w:sz w:val="36"/>
          <w:szCs w:val="36"/>
        </w:rPr>
      </w:pPr>
      <w:bookmarkStart w:id="108" w:name="_Toc1465133023"/>
      <w:bookmarkStart w:id="109" w:name="_Toc223443577"/>
      <w:r w:rsidRPr="71D30AF0">
        <w:t xml:space="preserve">19| </w:t>
      </w:r>
      <w:r w:rsidR="483C7E65" w:rsidRPr="71D30AF0">
        <w:t>Renouvellement de la politique</w:t>
      </w:r>
      <w:bookmarkEnd w:id="108"/>
      <w:bookmarkEnd w:id="109"/>
    </w:p>
    <w:p w14:paraId="2EF223E4" w14:textId="475B8EC8" w:rsidR="483C7E65" w:rsidRDefault="483C7E65" w:rsidP="71D30AF0">
      <w:pPr>
        <w:jc w:val="both"/>
        <w:rPr>
          <w:rFonts w:eastAsia="Lora" w:cs="Lora"/>
          <w:color w:val="000000" w:themeColor="text1"/>
          <w:szCs w:val="20"/>
        </w:rPr>
      </w:pPr>
      <w:r w:rsidRPr="71D30AF0">
        <w:rPr>
          <w:rFonts w:eastAsia="Lora" w:cs="Lora"/>
          <w:color w:val="000000" w:themeColor="text1"/>
          <w:szCs w:val="20"/>
        </w:rPr>
        <w:t>La Fondation Béati verra, aux cinq ans, à réviser la politique de conditions de travail afin de tenir compte de l’évolution de l’organisation et des conditions du marché du travail et la durée de cette révision ne doit pas excéder 1 an.  </w:t>
      </w:r>
    </w:p>
    <w:p w14:paraId="2FF7C049" w14:textId="34E3927F" w:rsidR="2A613570" w:rsidRDefault="2A613570" w:rsidP="71D30AF0">
      <w:pPr>
        <w:pStyle w:val="Titre1"/>
        <w:rPr>
          <w:rFonts w:ascii="Rockwell" w:eastAsia="Rockwell" w:hAnsi="Rockwell" w:cs="Rockwell"/>
          <w:bCs/>
          <w:color w:val="003A60"/>
          <w:sz w:val="36"/>
          <w:szCs w:val="36"/>
        </w:rPr>
      </w:pPr>
      <w:bookmarkStart w:id="110" w:name="_Toc1681203508"/>
      <w:bookmarkStart w:id="111" w:name="_Toc223443578"/>
      <w:r w:rsidRPr="71D30AF0">
        <w:t xml:space="preserve">20| </w:t>
      </w:r>
      <w:r w:rsidR="483C7E65" w:rsidRPr="71D30AF0">
        <w:t>Comité sur les conditions et relations de travail</w:t>
      </w:r>
      <w:bookmarkEnd w:id="110"/>
      <w:bookmarkEnd w:id="111"/>
    </w:p>
    <w:p w14:paraId="3B822564" w14:textId="583EE1F2" w:rsidR="483C7E65" w:rsidRDefault="483C7E65" w:rsidP="71D30AF0">
      <w:pPr>
        <w:jc w:val="both"/>
        <w:rPr>
          <w:rFonts w:eastAsia="Lora" w:cs="Lora"/>
          <w:color w:val="000000" w:themeColor="text1"/>
          <w:szCs w:val="20"/>
        </w:rPr>
      </w:pPr>
      <w:r w:rsidRPr="71D30AF0">
        <w:rPr>
          <w:rFonts w:eastAsia="Lora" w:cs="Lora"/>
          <w:color w:val="000000" w:themeColor="text1"/>
          <w:szCs w:val="20"/>
        </w:rPr>
        <w:t>La Fondation Béati a un comité permanent sur les conditions et relations de travail. Pour les rôles et responsabilités de ce dernier, voir annexe correspondante.</w:t>
      </w:r>
    </w:p>
    <w:p w14:paraId="264384AC" w14:textId="53E62AA1" w:rsidR="483C7E65" w:rsidRDefault="483C7E65" w:rsidP="71D30AF0">
      <w:pPr>
        <w:pStyle w:val="Titre2"/>
        <w:rPr>
          <w:rFonts w:ascii="Rockwell" w:eastAsia="Rockwell" w:hAnsi="Rockwell" w:cs="Rockwell"/>
          <w:bCs/>
          <w:color w:val="287FA5"/>
          <w:szCs w:val="28"/>
        </w:rPr>
      </w:pPr>
      <w:bookmarkStart w:id="112" w:name="_Toc1473261653"/>
      <w:bookmarkStart w:id="113" w:name="_Toc223443579"/>
      <w:r w:rsidRPr="71D30AF0">
        <w:t>Importance de la participation de l’équipe</w:t>
      </w:r>
      <w:bookmarkEnd w:id="112"/>
      <w:bookmarkEnd w:id="113"/>
    </w:p>
    <w:p w14:paraId="5B4191AC" w14:textId="0E8E3FAC"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La Fondation estime qu’il est primordial que les personnes de l’équipe fassent partie des décisions qui les concernent. Pour assurer le lien, une personne de l’équipe fait partie du comité sur les conditions et relations de travail. </w:t>
      </w:r>
    </w:p>
    <w:p w14:paraId="1CE74188" w14:textId="76E84F35" w:rsidR="71D30AF0" w:rsidRDefault="71D30AF0" w:rsidP="71D30AF0">
      <w:pPr>
        <w:jc w:val="both"/>
        <w:rPr>
          <w:rFonts w:eastAsia="Lora" w:cs="Lora"/>
          <w:color w:val="000000" w:themeColor="text1"/>
          <w:szCs w:val="20"/>
        </w:rPr>
      </w:pPr>
    </w:p>
    <w:p w14:paraId="57B90016" w14:textId="14F31DC3"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Dans le cadre des mises à jour annuelles ou de la révision complète des politiques liées aux conditions et relations de travail, les mesures suivantes sont mises en place : </w:t>
      </w:r>
    </w:p>
    <w:p w14:paraId="04BE6399" w14:textId="211B0951" w:rsidR="483C7E65" w:rsidRDefault="483C7E65" w:rsidP="71D30AF0">
      <w:pPr>
        <w:pStyle w:val="Paragraphedeliste"/>
        <w:numPr>
          <w:ilvl w:val="0"/>
          <w:numId w:val="13"/>
        </w:numPr>
        <w:spacing w:before="240" w:after="400"/>
        <w:jc w:val="both"/>
        <w:rPr>
          <w:rFonts w:eastAsia="Lora" w:cs="Lora"/>
          <w:color w:val="31595C" w:themeColor="accent1"/>
          <w:szCs w:val="20"/>
        </w:rPr>
      </w:pPr>
      <w:r w:rsidRPr="71D30AF0">
        <w:rPr>
          <w:rFonts w:eastAsia="Lora" w:cs="Lora"/>
          <w:color w:val="31595C" w:themeColor="accent1"/>
          <w:szCs w:val="20"/>
        </w:rPr>
        <w:t xml:space="preserve">Consultation </w:t>
      </w:r>
      <w:proofErr w:type="gramStart"/>
      <w:r w:rsidRPr="71D30AF0">
        <w:rPr>
          <w:rFonts w:eastAsia="Lora" w:cs="Lora"/>
          <w:color w:val="31595C" w:themeColor="accent1"/>
          <w:szCs w:val="20"/>
        </w:rPr>
        <w:t>des employé</w:t>
      </w:r>
      <w:proofErr w:type="gramEnd"/>
      <w:r w:rsidRPr="71D30AF0">
        <w:rPr>
          <w:rFonts w:eastAsia="Lora" w:cs="Lora"/>
          <w:color w:val="31595C" w:themeColor="accent1"/>
          <w:szCs w:val="20"/>
        </w:rPr>
        <w:t>.</w:t>
      </w:r>
      <w:proofErr w:type="gramStart"/>
      <w:r w:rsidRPr="71D30AF0">
        <w:rPr>
          <w:rFonts w:eastAsia="Lora" w:cs="Lora"/>
          <w:color w:val="31595C" w:themeColor="accent1"/>
          <w:szCs w:val="20"/>
        </w:rPr>
        <w:t>e.s</w:t>
      </w:r>
      <w:proofErr w:type="gramEnd"/>
      <w:r w:rsidRPr="71D30AF0">
        <w:rPr>
          <w:rFonts w:eastAsia="Lora" w:cs="Lora"/>
          <w:color w:val="31595C" w:themeColor="accent1"/>
          <w:szCs w:val="20"/>
        </w:rPr>
        <w:t xml:space="preserve"> lors de la révision des conditions de travail et via des espaces d’échanges dédiés</w:t>
      </w:r>
    </w:p>
    <w:p w14:paraId="4AA0742A" w14:textId="5E8BFC4B" w:rsidR="483C7E65" w:rsidRDefault="483C7E65" w:rsidP="71D30AF0">
      <w:pPr>
        <w:pStyle w:val="Paragraphedeliste"/>
        <w:numPr>
          <w:ilvl w:val="0"/>
          <w:numId w:val="13"/>
        </w:numPr>
        <w:spacing w:before="240" w:after="400"/>
        <w:jc w:val="both"/>
        <w:rPr>
          <w:rFonts w:eastAsia="Lora" w:cs="Lora"/>
          <w:color w:val="31595C" w:themeColor="accent1"/>
          <w:szCs w:val="20"/>
        </w:rPr>
      </w:pPr>
      <w:r w:rsidRPr="71D30AF0">
        <w:rPr>
          <w:rFonts w:eastAsia="Lora" w:cs="Lora"/>
          <w:color w:val="31595C" w:themeColor="accent1"/>
          <w:szCs w:val="20"/>
        </w:rPr>
        <w:lastRenderedPageBreak/>
        <w:t xml:space="preserve">Création d’un mécanisme de recommandations permettant </w:t>
      </w:r>
      <w:proofErr w:type="gramStart"/>
      <w:r w:rsidRPr="71D30AF0">
        <w:rPr>
          <w:rFonts w:eastAsia="Lora" w:cs="Lora"/>
          <w:color w:val="31595C" w:themeColor="accent1"/>
          <w:szCs w:val="20"/>
        </w:rPr>
        <w:t>aux employé</w:t>
      </w:r>
      <w:proofErr w:type="gramEnd"/>
      <w:r w:rsidRPr="71D30AF0">
        <w:rPr>
          <w:rFonts w:eastAsia="Lora" w:cs="Lora"/>
          <w:color w:val="31595C" w:themeColor="accent1"/>
          <w:szCs w:val="20"/>
        </w:rPr>
        <w:t>.</w:t>
      </w:r>
      <w:proofErr w:type="gramStart"/>
      <w:r w:rsidRPr="71D30AF0">
        <w:rPr>
          <w:rFonts w:eastAsia="Lora" w:cs="Lora"/>
          <w:color w:val="31595C" w:themeColor="accent1"/>
          <w:szCs w:val="20"/>
        </w:rPr>
        <w:t>e.s</w:t>
      </w:r>
      <w:proofErr w:type="gramEnd"/>
      <w:r w:rsidRPr="71D30AF0">
        <w:rPr>
          <w:rFonts w:eastAsia="Lora" w:cs="Lora"/>
          <w:color w:val="31595C" w:themeColor="accent1"/>
          <w:szCs w:val="20"/>
        </w:rPr>
        <w:t xml:space="preserve"> d’influencer certaines décisions liées aux ressources humaines (ex: choix des priorités annuelles en matière de bien-être au travail).</w:t>
      </w:r>
    </w:p>
    <w:p w14:paraId="67C64E36" w14:textId="26F37A2C" w:rsidR="483C7E65" w:rsidRDefault="483C7E65" w:rsidP="71D30AF0">
      <w:pPr>
        <w:pStyle w:val="Titre2"/>
        <w:rPr>
          <w:rFonts w:ascii="Rockwell" w:eastAsia="Rockwell" w:hAnsi="Rockwell" w:cs="Rockwell"/>
          <w:bCs/>
          <w:color w:val="287FA5"/>
          <w:szCs w:val="28"/>
        </w:rPr>
      </w:pPr>
      <w:bookmarkStart w:id="114" w:name="_Toc879864046"/>
      <w:bookmarkStart w:id="115" w:name="_Toc223443580"/>
      <w:r w:rsidRPr="71D30AF0">
        <w:t>Recommandations de l’équipe au comité</w:t>
      </w:r>
      <w:bookmarkEnd w:id="114"/>
      <w:bookmarkEnd w:id="115"/>
    </w:p>
    <w:p w14:paraId="0A73B027" w14:textId="2C35AD86"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L’équipe, incluant la direction générale, formule des recommandations sur les enjeux liés aux conditions de travail, en veillant aux points suivants : </w:t>
      </w:r>
    </w:p>
    <w:p w14:paraId="202703FC" w14:textId="6D18C04A" w:rsidR="483C7E65" w:rsidRDefault="483C7E65" w:rsidP="71D30AF0">
      <w:pPr>
        <w:pStyle w:val="Paragraphedeliste"/>
        <w:numPr>
          <w:ilvl w:val="0"/>
          <w:numId w:val="10"/>
        </w:numPr>
        <w:spacing w:before="240" w:after="400"/>
        <w:jc w:val="both"/>
        <w:rPr>
          <w:rFonts w:eastAsia="Lora" w:cs="Lora"/>
          <w:color w:val="31595C" w:themeColor="accent1"/>
          <w:szCs w:val="20"/>
        </w:rPr>
      </w:pPr>
      <w:r w:rsidRPr="71D30AF0">
        <w:rPr>
          <w:rFonts w:eastAsia="Lora" w:cs="Lora"/>
          <w:color w:val="31595C" w:themeColor="accent1"/>
          <w:szCs w:val="20"/>
        </w:rPr>
        <w:t>Les personnes employées ont eu l’occasion de s’exprimer sans la présence de la direction générale si elles le souhaitent</w:t>
      </w:r>
    </w:p>
    <w:p w14:paraId="463E2EAC" w14:textId="7BC26466" w:rsidR="483C7E65" w:rsidRDefault="483C7E65" w:rsidP="71D30AF0">
      <w:pPr>
        <w:pStyle w:val="Paragraphedeliste"/>
        <w:numPr>
          <w:ilvl w:val="0"/>
          <w:numId w:val="10"/>
        </w:numPr>
        <w:spacing w:before="240" w:after="400"/>
        <w:jc w:val="both"/>
        <w:rPr>
          <w:rFonts w:eastAsia="Lora" w:cs="Lora"/>
          <w:color w:val="31595C" w:themeColor="accent1"/>
          <w:szCs w:val="20"/>
        </w:rPr>
      </w:pPr>
      <w:r w:rsidRPr="71D30AF0">
        <w:rPr>
          <w:rFonts w:eastAsia="Lora" w:cs="Lora"/>
          <w:color w:val="31595C" w:themeColor="accent1"/>
          <w:szCs w:val="20"/>
        </w:rPr>
        <w:t>La direction générale a eu l’occasion de s’exprimer en tant qu’employée au sujet de ses propres conditions de travail (et non seulement en tant que gestionnaire de l’équipe).</w:t>
      </w:r>
    </w:p>
    <w:p w14:paraId="19440DBE" w14:textId="4A512823"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Deux situations peuvent se présenter concernant les recommandations de l’équipe : </w:t>
      </w:r>
    </w:p>
    <w:p w14:paraId="63D95ADB" w14:textId="7B2C9BEE" w:rsidR="483C7E65" w:rsidRDefault="483C7E65" w:rsidP="71D30AF0">
      <w:pPr>
        <w:pStyle w:val="Paragraphedeliste"/>
        <w:numPr>
          <w:ilvl w:val="0"/>
          <w:numId w:val="9"/>
        </w:numPr>
        <w:spacing w:before="240" w:after="400"/>
        <w:jc w:val="both"/>
        <w:rPr>
          <w:rFonts w:eastAsia="Lora" w:cs="Lora"/>
          <w:color w:val="31595C" w:themeColor="accent1"/>
          <w:szCs w:val="20"/>
        </w:rPr>
      </w:pPr>
      <w:r w:rsidRPr="71D30AF0">
        <w:rPr>
          <w:rFonts w:eastAsia="Lora" w:cs="Lora"/>
          <w:color w:val="31595C" w:themeColor="accent1"/>
          <w:szCs w:val="20"/>
        </w:rPr>
        <w:t xml:space="preserve">Il y a consensus : le comité des conditions et relations de travail fait les vérifications nécessaires et propose les recommandations finales au conseil d’administration, qui prend la décision finale. </w:t>
      </w:r>
    </w:p>
    <w:p w14:paraId="3BB3D104" w14:textId="372B577E" w:rsidR="483C7E65" w:rsidRDefault="483C7E65" w:rsidP="71D30AF0">
      <w:pPr>
        <w:pStyle w:val="Paragraphedeliste"/>
        <w:numPr>
          <w:ilvl w:val="0"/>
          <w:numId w:val="9"/>
        </w:numPr>
        <w:spacing w:before="240" w:after="400"/>
        <w:jc w:val="both"/>
        <w:rPr>
          <w:rFonts w:eastAsia="Lora" w:cs="Lora"/>
          <w:color w:val="31595C" w:themeColor="accent1"/>
          <w:szCs w:val="20"/>
        </w:rPr>
      </w:pPr>
      <w:r w:rsidRPr="71D30AF0">
        <w:rPr>
          <w:rFonts w:eastAsia="Lora" w:cs="Lora"/>
          <w:color w:val="31595C" w:themeColor="accent1"/>
          <w:szCs w:val="20"/>
        </w:rPr>
        <w:t>Un différend important existe sur des recommandations ou conditions :  l’équipe peut rapporter celui-ci au comité pour un éclairage neutre.</w:t>
      </w:r>
    </w:p>
    <w:p w14:paraId="4962D49A" w14:textId="3F2D2D48" w:rsidR="4AA41B73" w:rsidRDefault="4AA41B73" w:rsidP="71D30AF0">
      <w:pPr>
        <w:pStyle w:val="Titre1"/>
        <w:rPr>
          <w:rFonts w:ascii="Rockwell" w:eastAsia="Rockwell" w:hAnsi="Rockwell" w:cs="Rockwell"/>
          <w:bCs/>
          <w:color w:val="003A60"/>
          <w:sz w:val="36"/>
          <w:szCs w:val="36"/>
        </w:rPr>
      </w:pPr>
      <w:bookmarkStart w:id="116" w:name="_Toc2123199457"/>
      <w:bookmarkStart w:id="117" w:name="_Toc223443581"/>
      <w:r w:rsidRPr="71D30AF0">
        <w:t xml:space="preserve">21| </w:t>
      </w:r>
      <w:r w:rsidR="483C7E65" w:rsidRPr="71D30AF0">
        <w:t>Mésentente sur l’interprétation et l’application de la politique</w:t>
      </w:r>
      <w:bookmarkEnd w:id="116"/>
      <w:bookmarkEnd w:id="117"/>
    </w:p>
    <w:p w14:paraId="15C30D1D" w14:textId="75BFF673"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En cas de mésentente entre une personne employée et la direction générale sur l’interprétation et/ou l’application de la politique des conditions de travail la première étape est que les parties s’avisent verbalement et cherchent à la résoudre de bonne foi </w:t>
      </w:r>
      <w:proofErr w:type="gramStart"/>
      <w:r w:rsidRPr="71D30AF0">
        <w:rPr>
          <w:rFonts w:eastAsia="Lora" w:cs="Lora"/>
          <w:color w:val="000000" w:themeColor="text1"/>
          <w:szCs w:val="20"/>
        </w:rPr>
        <w:t>;  Si</w:t>
      </w:r>
      <w:proofErr w:type="gramEnd"/>
      <w:r w:rsidRPr="71D30AF0">
        <w:rPr>
          <w:rFonts w:eastAsia="Lora" w:cs="Lora"/>
          <w:color w:val="000000" w:themeColor="text1"/>
          <w:szCs w:val="20"/>
        </w:rPr>
        <w:t xml:space="preserve"> aucune solution mutuellement satisfaisante n’est trouvée, chaque partie peut faire appel par écrit au comité des conditions et relations de travail.  Le comité reçoit la demande, entend les parties si nécessaire, traite la question et émet son jugement par écrit dans un délai de trente jours. </w:t>
      </w:r>
    </w:p>
    <w:p w14:paraId="0696BE55" w14:textId="47EA0B4E" w:rsidR="71D30AF0" w:rsidRDefault="71D30AF0" w:rsidP="71D30AF0">
      <w:pPr>
        <w:jc w:val="both"/>
        <w:rPr>
          <w:rFonts w:eastAsia="Lora" w:cs="Lora"/>
          <w:color w:val="000000" w:themeColor="text1"/>
          <w:szCs w:val="20"/>
        </w:rPr>
      </w:pPr>
    </w:p>
    <w:p w14:paraId="7673BA82" w14:textId="310D8D4A" w:rsidR="483C7E65" w:rsidRDefault="483C7E65" w:rsidP="71D30AF0">
      <w:pPr>
        <w:jc w:val="both"/>
        <w:rPr>
          <w:rFonts w:eastAsia="Lora" w:cs="Lora"/>
          <w:color w:val="000000" w:themeColor="text1"/>
          <w:szCs w:val="20"/>
        </w:rPr>
      </w:pPr>
      <w:r w:rsidRPr="71D30AF0">
        <w:rPr>
          <w:rFonts w:eastAsia="Lora" w:cs="Lora"/>
          <w:color w:val="000000" w:themeColor="text1"/>
          <w:szCs w:val="20"/>
        </w:rPr>
        <w:t>Si dans un délai maximum de trente jours suivants la réception dudit avis écrit, la personne employée évalue que la solution retenue n’est pas satisfaisante et lui porte préjudice, elle peut choisir de se prévaloir de son droit de porter plainte à la commission des normes du travail. </w:t>
      </w:r>
    </w:p>
    <w:p w14:paraId="3C96E170" w14:textId="4FA35075" w:rsidR="28591F5F" w:rsidRDefault="28591F5F" w:rsidP="71D30AF0">
      <w:pPr>
        <w:pStyle w:val="Titre1"/>
      </w:pPr>
      <w:bookmarkStart w:id="118" w:name="_Toc789829949"/>
      <w:bookmarkStart w:id="119" w:name="_Toc223443582"/>
      <w:r w:rsidRPr="71D30AF0">
        <w:t xml:space="preserve">22| </w:t>
      </w:r>
      <w:r w:rsidR="483C7E65" w:rsidRPr="71D30AF0">
        <w:t>Mésentente entre</w:t>
      </w:r>
      <w:r w:rsidR="01F387B5" w:rsidRPr="71D30AF0">
        <w:t xml:space="preserve"> les personnes salariées</w:t>
      </w:r>
      <w:bookmarkEnd w:id="118"/>
      <w:bookmarkEnd w:id="119"/>
    </w:p>
    <w:p w14:paraId="0410BF81" w14:textId="03C1C5C1" w:rsidR="483C7E65" w:rsidRDefault="483C7E65" w:rsidP="71D30AF0">
      <w:pPr>
        <w:jc w:val="both"/>
        <w:rPr>
          <w:rFonts w:eastAsia="Lora" w:cs="Lora"/>
          <w:color w:val="000000" w:themeColor="text1"/>
          <w:szCs w:val="20"/>
        </w:rPr>
      </w:pPr>
      <w:r w:rsidRPr="71D30AF0">
        <w:rPr>
          <w:rFonts w:eastAsia="Lora" w:cs="Lora"/>
          <w:color w:val="000000" w:themeColor="text1"/>
          <w:szCs w:val="20"/>
        </w:rPr>
        <w:t xml:space="preserve">Dans le cas de mésentente pouvant survenir entre les personnes employées, il convient de privilégier d’abord un mode de résolution pacifique des conflits via des approches de </w:t>
      </w:r>
      <w:r w:rsidRPr="71D30AF0">
        <w:rPr>
          <w:rFonts w:eastAsia="Lora" w:cs="Lora"/>
          <w:color w:val="000000" w:themeColor="text1"/>
          <w:szCs w:val="20"/>
        </w:rPr>
        <w:lastRenderedPageBreak/>
        <w:t xml:space="preserve">médiations, de conciliations et de communication non violente et d’outiller en ce sens notamment par la co-construction d’espaces bienveillants et sécuritaires tels que définis par le collectif </w:t>
      </w:r>
      <w:r w:rsidRPr="71D30AF0">
        <w:rPr>
          <w:rFonts w:eastAsia="Lora" w:cs="Lora"/>
          <w:i/>
          <w:iCs/>
          <w:color w:val="000000" w:themeColor="text1"/>
          <w:szCs w:val="20"/>
        </w:rPr>
        <w:t>Politics and care</w:t>
      </w:r>
      <w:r w:rsidRPr="71D30AF0">
        <w:rPr>
          <w:rFonts w:eastAsia="Lora" w:cs="Lora"/>
          <w:color w:val="000000" w:themeColor="text1"/>
          <w:szCs w:val="20"/>
          <w:vertAlign w:val="superscript"/>
        </w:rPr>
        <w:t>3</w:t>
      </w:r>
      <w:r w:rsidRPr="71D30AF0">
        <w:rPr>
          <w:rFonts w:eastAsia="Lora" w:cs="Lora"/>
          <w:color w:val="000000" w:themeColor="text1"/>
          <w:szCs w:val="20"/>
        </w:rPr>
        <w:t>. </w:t>
      </w:r>
    </w:p>
    <w:p w14:paraId="74FB0FE0" w14:textId="28E0933C" w:rsidR="71D30AF0" w:rsidRDefault="71D30AF0" w:rsidP="71D30AF0">
      <w:pPr>
        <w:jc w:val="both"/>
        <w:rPr>
          <w:rFonts w:eastAsia="Lora" w:cs="Lora"/>
          <w:color w:val="000000" w:themeColor="text1"/>
          <w:szCs w:val="20"/>
        </w:rPr>
      </w:pPr>
    </w:p>
    <w:p w14:paraId="0EC3AA33" w14:textId="53092A8B" w:rsidR="483C7E65" w:rsidRDefault="483C7E65" w:rsidP="71D30AF0">
      <w:pPr>
        <w:jc w:val="both"/>
        <w:rPr>
          <w:rFonts w:eastAsia="Lora" w:cs="Lora"/>
          <w:color w:val="000000" w:themeColor="text1"/>
          <w:szCs w:val="20"/>
        </w:rPr>
      </w:pPr>
      <w:r w:rsidRPr="71D30AF0">
        <w:rPr>
          <w:rFonts w:eastAsia="Lora" w:cs="Lora"/>
          <w:color w:val="000000" w:themeColor="text1"/>
          <w:szCs w:val="20"/>
        </w:rPr>
        <w:t>Exemple de procédures de médiation : En vue de régler dans le plus bref délai possible toute mésentente pouvant survenir, les parties peuvent convenir de se conformer à la procédure suivante : </w:t>
      </w:r>
    </w:p>
    <w:p w14:paraId="669B171B" w14:textId="2AB6D104" w:rsidR="483C7E65" w:rsidRDefault="483C7E65" w:rsidP="71D30AF0">
      <w:pPr>
        <w:pStyle w:val="Paragraphedeliste"/>
        <w:numPr>
          <w:ilvl w:val="0"/>
          <w:numId w:val="7"/>
        </w:numPr>
        <w:spacing w:before="240" w:after="400"/>
        <w:jc w:val="both"/>
        <w:rPr>
          <w:rFonts w:eastAsia="Lora" w:cs="Lora"/>
          <w:color w:val="31595C" w:themeColor="accent1"/>
          <w:szCs w:val="20"/>
        </w:rPr>
      </w:pPr>
      <w:r w:rsidRPr="71D30AF0">
        <w:rPr>
          <w:rFonts w:eastAsia="Lora" w:cs="Lora"/>
          <w:color w:val="31595C" w:themeColor="accent1"/>
          <w:szCs w:val="20"/>
        </w:rPr>
        <w:t>En cas de mésentente, les parties conviennent de s’aviser verbalement de l’objet du litige et de chercher à le résoudre de bonne foi et rapidement. </w:t>
      </w:r>
    </w:p>
    <w:p w14:paraId="211B57C5" w14:textId="5D7D45A3" w:rsidR="483C7E65" w:rsidRDefault="483C7E65" w:rsidP="71D30AF0">
      <w:pPr>
        <w:pStyle w:val="Paragraphedeliste"/>
        <w:numPr>
          <w:ilvl w:val="0"/>
          <w:numId w:val="7"/>
        </w:numPr>
        <w:spacing w:before="240" w:after="400"/>
        <w:jc w:val="both"/>
        <w:rPr>
          <w:rFonts w:eastAsia="Lora" w:cs="Lora"/>
          <w:color w:val="31595C" w:themeColor="accent1"/>
          <w:szCs w:val="20"/>
        </w:rPr>
      </w:pPr>
      <w:r w:rsidRPr="71D30AF0">
        <w:rPr>
          <w:rFonts w:eastAsia="Lora" w:cs="Lora"/>
          <w:color w:val="31595C" w:themeColor="accent1"/>
          <w:szCs w:val="20"/>
        </w:rPr>
        <w:t>Si la mésentente persiste, les parties doivent tenter de résoudre le litige en passant par les structures internes décisionnelles allant jusqu’au conseil d’administration, si nécessaire. À chaque étape, toutes les parties ont le droit d’être entendues. </w:t>
      </w:r>
    </w:p>
    <w:p w14:paraId="703741C4" w14:textId="2B566E6A" w:rsidR="483C7E65" w:rsidRDefault="483C7E65" w:rsidP="71D30AF0">
      <w:pPr>
        <w:pStyle w:val="Paragraphedeliste"/>
        <w:numPr>
          <w:ilvl w:val="0"/>
          <w:numId w:val="7"/>
        </w:numPr>
        <w:spacing w:before="240" w:after="400"/>
        <w:jc w:val="both"/>
        <w:rPr>
          <w:rFonts w:eastAsia="Lora" w:cs="Lora"/>
          <w:color w:val="31595C" w:themeColor="accent1"/>
          <w:szCs w:val="20"/>
        </w:rPr>
      </w:pPr>
      <w:r w:rsidRPr="71D30AF0">
        <w:rPr>
          <w:rFonts w:eastAsia="Lora" w:cs="Lora"/>
          <w:color w:val="31595C" w:themeColor="accent1"/>
          <w:szCs w:val="20"/>
        </w:rPr>
        <w:t>Si aucune solution mutuellement satisfaisante n’est trouvée, les parties ont la possibilité de demander par écrit au conseil d’administration de choisir et de faire intervenir une personne médiatrice venant de l’interne ou de l’extérieur et convenant aux parties. </w:t>
      </w:r>
    </w:p>
    <w:p w14:paraId="388B0643" w14:textId="20FAA7E6" w:rsidR="483C7E65" w:rsidRDefault="483C7E65" w:rsidP="71D30AF0">
      <w:pPr>
        <w:pStyle w:val="Paragraphedeliste"/>
        <w:numPr>
          <w:ilvl w:val="0"/>
          <w:numId w:val="7"/>
        </w:numPr>
        <w:spacing w:before="240" w:after="400"/>
        <w:jc w:val="both"/>
        <w:rPr>
          <w:rFonts w:eastAsia="Lora" w:cs="Lora"/>
          <w:color w:val="31595C" w:themeColor="accent1"/>
          <w:szCs w:val="20"/>
        </w:rPr>
      </w:pPr>
      <w:r w:rsidRPr="71D30AF0">
        <w:rPr>
          <w:rFonts w:eastAsia="Lora" w:cs="Lora"/>
          <w:color w:val="31595C" w:themeColor="accent1"/>
          <w:szCs w:val="20"/>
        </w:rPr>
        <w:t>Si dans un délai de 30 jours suivant la réception dudit écrit la procédure de médiation n’est pas parvenue à un dénouement positif, il reviendra à la direction générale de prendre les mesures appropriées. </w:t>
      </w:r>
    </w:p>
    <w:p w14:paraId="2007198B" w14:textId="31FC7D5F" w:rsidR="483C7E65" w:rsidRDefault="483C7E65" w:rsidP="71D30AF0">
      <w:pPr>
        <w:jc w:val="both"/>
        <w:rPr>
          <w:rFonts w:eastAsia="Lora" w:cs="Lora"/>
          <w:color w:val="000000" w:themeColor="text1"/>
          <w:szCs w:val="20"/>
        </w:rPr>
      </w:pPr>
      <w:r w:rsidRPr="71D30AF0">
        <w:rPr>
          <w:rFonts w:eastAsia="Lora" w:cs="Lora"/>
          <w:color w:val="000000" w:themeColor="text1"/>
          <w:szCs w:val="20"/>
        </w:rPr>
        <w:t>Si une mésentente entre employé.</w:t>
      </w:r>
      <w:proofErr w:type="gramStart"/>
      <w:r w:rsidRPr="71D30AF0">
        <w:rPr>
          <w:rFonts w:eastAsia="Lora" w:cs="Lora"/>
          <w:color w:val="000000" w:themeColor="text1"/>
          <w:szCs w:val="20"/>
        </w:rPr>
        <w:t>e.s</w:t>
      </w:r>
      <w:proofErr w:type="gramEnd"/>
      <w:r w:rsidRPr="71D30AF0">
        <w:rPr>
          <w:rFonts w:eastAsia="Lora" w:cs="Lora"/>
          <w:color w:val="000000" w:themeColor="text1"/>
          <w:szCs w:val="20"/>
        </w:rPr>
        <w:t xml:space="preserve"> relève d’un conflit structurel ou récurrent, un </w:t>
      </w:r>
      <w:r w:rsidRPr="71D30AF0">
        <w:rPr>
          <w:rFonts w:eastAsia="Lora" w:cs="Lora"/>
          <w:b/>
          <w:bCs/>
          <w:color w:val="000000" w:themeColor="text1"/>
          <w:szCs w:val="20"/>
        </w:rPr>
        <w:t>processus formalisé de médiation</w:t>
      </w:r>
      <w:r w:rsidRPr="71D30AF0">
        <w:rPr>
          <w:rFonts w:eastAsia="Lora" w:cs="Lora"/>
          <w:color w:val="000000" w:themeColor="text1"/>
          <w:szCs w:val="20"/>
        </w:rPr>
        <w:t xml:space="preserve"> peut être enclenché. Ce processus comprend :</w:t>
      </w:r>
    </w:p>
    <w:p w14:paraId="09338F25" w14:textId="54563AD4" w:rsidR="483C7E65" w:rsidRDefault="483C7E65" w:rsidP="71D30AF0">
      <w:pPr>
        <w:pStyle w:val="Paragraphedeliste"/>
        <w:numPr>
          <w:ilvl w:val="0"/>
          <w:numId w:val="6"/>
        </w:numPr>
        <w:spacing w:before="240" w:after="400"/>
        <w:jc w:val="both"/>
        <w:rPr>
          <w:rFonts w:eastAsia="Lora" w:cs="Lora"/>
          <w:color w:val="31595C" w:themeColor="accent1"/>
          <w:szCs w:val="20"/>
        </w:rPr>
      </w:pPr>
      <w:r w:rsidRPr="71D30AF0">
        <w:rPr>
          <w:rFonts w:eastAsia="Lora" w:cs="Lora"/>
          <w:color w:val="31595C" w:themeColor="accent1"/>
          <w:szCs w:val="20"/>
        </w:rPr>
        <w:t xml:space="preserve">Une rencontre de médiation entre les parties concernées, facilitée par </w:t>
      </w:r>
      <w:proofErr w:type="gramStart"/>
      <w:r w:rsidRPr="71D30AF0">
        <w:rPr>
          <w:rFonts w:eastAsia="Lora" w:cs="Lora"/>
          <w:color w:val="31595C" w:themeColor="accent1"/>
          <w:szCs w:val="20"/>
        </w:rPr>
        <w:t>un.e</w:t>
      </w:r>
      <w:proofErr w:type="gramEnd"/>
      <w:r w:rsidRPr="71D30AF0">
        <w:rPr>
          <w:rFonts w:eastAsia="Lora" w:cs="Lora"/>
          <w:color w:val="31595C" w:themeColor="accent1"/>
          <w:szCs w:val="20"/>
        </w:rPr>
        <w:t xml:space="preserve"> membre neutre du Comité sur les conditions et relations de travail.</w:t>
      </w:r>
    </w:p>
    <w:p w14:paraId="728790A7" w14:textId="5571E4C6" w:rsidR="483C7E65" w:rsidRDefault="483C7E65" w:rsidP="71D30AF0">
      <w:pPr>
        <w:pStyle w:val="Paragraphedeliste"/>
        <w:numPr>
          <w:ilvl w:val="0"/>
          <w:numId w:val="6"/>
        </w:numPr>
        <w:spacing w:before="240" w:after="400"/>
        <w:jc w:val="both"/>
        <w:rPr>
          <w:rFonts w:eastAsia="Lora" w:cs="Lora"/>
          <w:color w:val="31595C" w:themeColor="accent1"/>
          <w:szCs w:val="20"/>
        </w:rPr>
      </w:pPr>
      <w:r w:rsidRPr="71D30AF0">
        <w:rPr>
          <w:rFonts w:eastAsia="Lora" w:cs="Lora"/>
          <w:color w:val="31595C" w:themeColor="accent1"/>
          <w:szCs w:val="20"/>
        </w:rPr>
        <w:t xml:space="preserve">Si la situation n’est pas résolue, recours à une </w:t>
      </w:r>
      <w:r w:rsidRPr="71D30AF0">
        <w:rPr>
          <w:rFonts w:eastAsia="Lora" w:cs="Lora"/>
          <w:b/>
          <w:bCs/>
          <w:color w:val="31595C" w:themeColor="accent1"/>
          <w:szCs w:val="20"/>
        </w:rPr>
        <w:t>médiation externe</w:t>
      </w:r>
      <w:r w:rsidRPr="71D30AF0">
        <w:rPr>
          <w:rFonts w:eastAsia="Lora" w:cs="Lora"/>
          <w:color w:val="31595C" w:themeColor="accent1"/>
          <w:szCs w:val="20"/>
        </w:rPr>
        <w:t xml:space="preserve"> prise en charge par la Fondation.</w:t>
      </w:r>
    </w:p>
    <w:p w14:paraId="6F54C158" w14:textId="5F5C1431" w:rsidR="483C7E65" w:rsidRDefault="483C7E65" w:rsidP="71D30AF0">
      <w:pPr>
        <w:jc w:val="both"/>
        <w:rPr>
          <w:rFonts w:eastAsia="Lora" w:cs="Lora"/>
          <w:color w:val="000000" w:themeColor="text1"/>
          <w:szCs w:val="20"/>
        </w:rPr>
      </w:pPr>
      <w:r w:rsidRPr="71D30AF0">
        <w:rPr>
          <w:rFonts w:eastAsia="Lora" w:cs="Lora"/>
          <w:color w:val="000000" w:themeColor="text1"/>
          <w:szCs w:val="20"/>
        </w:rPr>
        <w:t>Si la mésentente implique une discrimination ou un harcèlement, la situation doit être signalée via le processus de plainte prévu dans la politique contre le harcèlement et la violence au travail.</w:t>
      </w:r>
    </w:p>
    <w:p w14:paraId="47ACA725" w14:textId="74A5B43E" w:rsidR="71D30AF0" w:rsidRDefault="71D30AF0" w:rsidP="71D30AF0">
      <w:pPr>
        <w:jc w:val="both"/>
        <w:rPr>
          <w:rFonts w:eastAsia="Lora" w:cs="Lora"/>
          <w:color w:val="000000" w:themeColor="text1"/>
          <w:szCs w:val="20"/>
        </w:rPr>
      </w:pPr>
    </w:p>
    <w:p w14:paraId="22E5C601" w14:textId="7181682C" w:rsidR="483C7E65" w:rsidRDefault="483C7E65" w:rsidP="71D30AF0">
      <w:pPr>
        <w:jc w:val="both"/>
        <w:rPr>
          <w:rFonts w:eastAsia="Lora" w:cs="Lora"/>
          <w:color w:val="000000" w:themeColor="text1"/>
          <w:szCs w:val="20"/>
        </w:rPr>
      </w:pPr>
      <w:r w:rsidRPr="71D30AF0">
        <w:rPr>
          <w:rFonts w:eastAsia="Lora" w:cs="Lora"/>
          <w:color w:val="000000" w:themeColor="text1"/>
          <w:szCs w:val="20"/>
        </w:rPr>
        <w:t>Les frais de conciliation seront assumés par l’organisation. </w:t>
      </w:r>
    </w:p>
    <w:p w14:paraId="494D8C17" w14:textId="77777777" w:rsidR="00953AEA" w:rsidRDefault="00953AEA" w:rsidP="71D30AF0">
      <w:pPr>
        <w:jc w:val="both"/>
        <w:rPr>
          <w:rFonts w:eastAsia="Lora" w:cs="Lora"/>
          <w:color w:val="000000" w:themeColor="text1"/>
          <w:szCs w:val="20"/>
        </w:rPr>
      </w:pPr>
    </w:p>
    <w:p w14:paraId="715895D5" w14:textId="24D87EC9" w:rsidR="71D30AF0" w:rsidRDefault="71D30AF0" w:rsidP="71D30AF0"/>
    <w:p w14:paraId="17EEE289" w14:textId="77777777" w:rsidR="00953AEA" w:rsidRDefault="00953AEA" w:rsidP="00953AEA">
      <w:pPr>
        <w:spacing w:before="100" w:beforeAutospacing="1" w:after="100" w:afterAutospacing="1"/>
        <w:rPr>
          <w:rFonts w:eastAsia="Times New Roman"/>
          <w:b/>
          <w:bCs/>
          <w:sz w:val="24"/>
        </w:rPr>
      </w:pPr>
      <w:r>
        <w:rPr>
          <w:rFonts w:ascii="system-ui" w:hAnsi="system-ui"/>
          <w:noProof/>
          <w:color w:val="374151"/>
        </w:rPr>
        <w:drawing>
          <wp:inline distT="0" distB="0" distL="0" distR="0" wp14:anchorId="0D42D689" wp14:editId="582CF6D9">
            <wp:extent cx="1273175" cy="447675"/>
            <wp:effectExtent l="0" t="0" r="0" b="0"/>
            <wp:docPr id="265724121" name="Image 26572412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24121" name="Image 265724121"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75" cy="447675"/>
                    </a:xfrm>
                    <a:prstGeom prst="rect">
                      <a:avLst/>
                    </a:prstGeom>
                  </pic:spPr>
                </pic:pic>
              </a:graphicData>
            </a:graphic>
          </wp:inline>
        </w:drawing>
      </w:r>
    </w:p>
    <w:p w14:paraId="4275528C" w14:textId="77777777" w:rsidR="00953AEA" w:rsidRPr="00953AEA" w:rsidRDefault="00953AEA" w:rsidP="00953AEA">
      <w:pPr>
        <w:spacing w:before="100" w:beforeAutospacing="1" w:after="100" w:afterAutospacing="1"/>
        <w:rPr>
          <w:rFonts w:eastAsia="Times New Roman"/>
          <w:sz w:val="18"/>
          <w:szCs w:val="18"/>
        </w:rPr>
      </w:pPr>
      <w:r w:rsidRPr="00953AEA">
        <w:rPr>
          <w:rFonts w:eastAsia="Times New Roman"/>
          <w:sz w:val="18"/>
          <w:szCs w:val="18"/>
        </w:rPr>
        <w:t xml:space="preserve">Ce document est mis à disposition sous la licence Creative Commons </w:t>
      </w:r>
      <w:r w:rsidRPr="00953AEA">
        <w:rPr>
          <w:rFonts w:eastAsia="Times New Roman"/>
          <w:b/>
          <w:bCs/>
          <w:sz w:val="18"/>
          <w:szCs w:val="18"/>
        </w:rPr>
        <w:t>CC BY-NC-SA (Paternité (Parentalité)*- Pas d'Utilisation Commerciale - Partage dans les Mêmes Conditions)</w:t>
      </w:r>
      <w:r w:rsidRPr="00953AEA">
        <w:rPr>
          <w:rFonts w:eastAsia="Times New Roman"/>
          <w:sz w:val="18"/>
          <w:szCs w:val="18"/>
        </w:rPr>
        <w:t xml:space="preserve"> | Cette licence offre les mêmes avantages que la précédente, mais elle exige également que toute œuvre dérivée soit distribuée sous la même licence CC BY-NC-SA, ce qui garantit que les travaux dérivés restent également non commerciaux.</w:t>
      </w:r>
    </w:p>
    <w:p w14:paraId="29ECA837" w14:textId="77777777" w:rsidR="00953AEA" w:rsidRPr="00953AEA" w:rsidRDefault="00953AEA" w:rsidP="00953AEA">
      <w:pPr>
        <w:spacing w:before="100" w:beforeAutospacing="1" w:after="100" w:afterAutospacing="1"/>
        <w:rPr>
          <w:rFonts w:eastAsia="Times New Roman"/>
          <w:b/>
          <w:bCs/>
          <w:sz w:val="18"/>
          <w:szCs w:val="18"/>
        </w:rPr>
      </w:pPr>
      <w:r w:rsidRPr="00953AEA">
        <w:rPr>
          <w:rFonts w:eastAsia="Times New Roman"/>
          <w:b/>
          <w:bCs/>
          <w:sz w:val="18"/>
          <w:szCs w:val="18"/>
        </w:rPr>
        <w:t>(Parentalité)* = note de communication inclusive</w:t>
      </w:r>
    </w:p>
    <w:p w14:paraId="0828B701" w14:textId="0502CD97" w:rsidR="003E546D" w:rsidRPr="00953AEA" w:rsidRDefault="00953AEA" w:rsidP="00953AEA">
      <w:pPr>
        <w:jc w:val="both"/>
        <w:rPr>
          <w:sz w:val="18"/>
          <w:szCs w:val="18"/>
        </w:rPr>
      </w:pPr>
      <w:r w:rsidRPr="00953AEA">
        <w:rPr>
          <w:rFonts w:eastAsia="Times New Roman"/>
          <w:sz w:val="18"/>
          <w:szCs w:val="18"/>
        </w:rPr>
        <w:t xml:space="preserve">Pour plus d'informations sur cette licence, </w:t>
      </w:r>
      <w:hyperlink r:id="rId13" w:history="1">
        <w:r w:rsidRPr="00953AEA">
          <w:rPr>
            <w:rStyle w:val="Hyperlien"/>
            <w:rFonts w:eastAsia="Times New Roman"/>
            <w:b/>
            <w:bCs/>
            <w:sz w:val="18"/>
            <w:szCs w:val="18"/>
          </w:rPr>
          <w:t>cliquez ici</w:t>
        </w:r>
      </w:hyperlink>
      <w:r w:rsidRPr="00953AEA">
        <w:rPr>
          <w:rFonts w:eastAsia="Times New Roman"/>
          <w:sz w:val="18"/>
          <w:szCs w:val="18"/>
        </w:rPr>
        <w:t xml:space="preserve">.  </w:t>
      </w:r>
    </w:p>
    <w:sectPr w:rsidR="003E546D" w:rsidRPr="00953AEA" w:rsidSect="0064229F">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D224" w14:textId="77777777" w:rsidR="00CE48A7" w:rsidRDefault="00CE48A7" w:rsidP="000931C4">
      <w:r>
        <w:separator/>
      </w:r>
    </w:p>
  </w:endnote>
  <w:endnote w:type="continuationSeparator" w:id="0">
    <w:p w14:paraId="35102788" w14:textId="77777777" w:rsidR="00CE48A7" w:rsidRDefault="00CE48A7" w:rsidP="000931C4">
      <w:r>
        <w:continuationSeparator/>
      </w:r>
    </w:p>
  </w:endnote>
  <w:endnote w:type="continuationNotice" w:id="1">
    <w:p w14:paraId="118D1148" w14:textId="77777777" w:rsidR="00CE48A7" w:rsidRDefault="00CE4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ork Sans Light">
    <w:panose1 w:val="00000400000000000000"/>
    <w:charset w:val="4D"/>
    <w:family w:val="auto"/>
    <w:pitch w:val="variable"/>
    <w:sig w:usb0="00000007" w:usb1="00000001" w:usb2="00000000" w:usb3="00000000" w:csb0="00000093" w:csb1="00000000"/>
  </w:font>
  <w:font w:name="Lora">
    <w:panose1 w:val="00000000000000000000"/>
    <w:charset w:val="4D"/>
    <w:family w:val="auto"/>
    <w:pitch w:val="variable"/>
    <w:sig w:usb0="A00002FF" w:usb1="5000204B" w:usb2="00000000" w:usb3="00000000" w:csb0="00000097" w:csb1="00000000"/>
  </w:font>
  <w:font w:name="Work Sans">
    <w:panose1 w:val="00000000000000000000"/>
    <w:charset w:val="4D"/>
    <w:family w:val="auto"/>
    <w:pitch w:val="variable"/>
    <w:sig w:usb0="A00000FF" w:usb1="5000E07B" w:usb2="00000000" w:usb3="00000000" w:csb0="00000193" w:csb1="00000000"/>
  </w:font>
  <w:font w:name="Work Sans SemiBold">
    <w:panose1 w:val="00000700000000000000"/>
    <w:charset w:val="4D"/>
    <w:family w:val="auto"/>
    <w:pitch w:val="variable"/>
    <w:sig w:usb0="A00000FF" w:usb1="5000E07B" w:usb2="00000000" w:usb3="00000000" w:csb0="00000193" w:csb1="00000000"/>
  </w:font>
  <w:font w:name="Work Sans Black">
    <w:panose1 w:val="00000000000000000000"/>
    <w:charset w:val="4D"/>
    <w:family w:val="auto"/>
    <w:notTrueType/>
    <w:pitch w:val="variable"/>
    <w:sig w:usb0="A00000FF" w:usb1="5000E07B" w:usb2="00000000" w:usb3="00000000" w:csb0="00000193" w:csb1="00000000"/>
  </w:font>
  <w:font w:name="Times New Roman (Titres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ystem-ui">
    <w:altName w:val="Cambria"/>
    <w:panose1 w:val="020B0604020202020204"/>
    <w:charset w:val="00"/>
    <w:family w:val="roman"/>
    <w:notTrueType/>
    <w:pitch w:val="default"/>
  </w:font>
  <w:font w:name="Rockwell">
    <w:panose1 w:val="02060603020205020403"/>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5384926"/>
      <w:docPartObj>
        <w:docPartGallery w:val="Page Numbers (Bottom of Page)"/>
        <w:docPartUnique/>
      </w:docPartObj>
    </w:sdtPr>
    <w:sdtEndPr>
      <w:rPr>
        <w:rStyle w:val="Numrodepage"/>
      </w:rPr>
    </w:sdtEndPr>
    <w:sdtContent>
      <w:p w14:paraId="13541A99" w14:textId="77777777" w:rsidR="0064229F" w:rsidRDefault="0064229F" w:rsidP="004C53D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C8D1409" w14:textId="77777777" w:rsidR="0064229F" w:rsidRDefault="0064229F" w:rsidP="0064229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38450181"/>
      <w:docPartObj>
        <w:docPartGallery w:val="Page Numbers (Bottom of Page)"/>
        <w:docPartUnique/>
      </w:docPartObj>
    </w:sdtPr>
    <w:sdtEndPr>
      <w:rPr>
        <w:rStyle w:val="Numrodepage"/>
      </w:rPr>
    </w:sdtEndPr>
    <w:sdtContent>
      <w:p w14:paraId="046EF73C" w14:textId="77777777" w:rsidR="0064229F" w:rsidRDefault="0064229F" w:rsidP="004C53D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00F6588" w14:textId="77777777" w:rsidR="0064229F" w:rsidRDefault="0064229F" w:rsidP="0064229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1D30AF0" w14:paraId="7ADD89E4" w14:textId="77777777" w:rsidTr="71D30AF0">
      <w:trPr>
        <w:trHeight w:val="300"/>
      </w:trPr>
      <w:tc>
        <w:tcPr>
          <w:tcW w:w="2880" w:type="dxa"/>
        </w:tcPr>
        <w:p w14:paraId="560FE668" w14:textId="449280EB" w:rsidR="71D30AF0" w:rsidRDefault="71D30AF0" w:rsidP="71D30AF0">
          <w:pPr>
            <w:pStyle w:val="En-tte"/>
            <w:ind w:left="-115"/>
          </w:pPr>
        </w:p>
      </w:tc>
      <w:tc>
        <w:tcPr>
          <w:tcW w:w="2880" w:type="dxa"/>
        </w:tcPr>
        <w:p w14:paraId="380F9D00" w14:textId="502866F3" w:rsidR="71D30AF0" w:rsidRDefault="71D30AF0" w:rsidP="71D30AF0">
          <w:pPr>
            <w:pStyle w:val="En-tte"/>
            <w:jc w:val="center"/>
          </w:pPr>
        </w:p>
      </w:tc>
      <w:tc>
        <w:tcPr>
          <w:tcW w:w="2880" w:type="dxa"/>
        </w:tcPr>
        <w:p w14:paraId="1F6DDF07" w14:textId="4D053F0C" w:rsidR="71D30AF0" w:rsidRDefault="71D30AF0" w:rsidP="71D30AF0">
          <w:pPr>
            <w:pStyle w:val="En-tte"/>
            <w:ind w:right="-115"/>
            <w:jc w:val="right"/>
          </w:pPr>
        </w:p>
      </w:tc>
    </w:tr>
  </w:tbl>
  <w:p w14:paraId="1C23CEAD" w14:textId="3823D957" w:rsidR="71D30AF0" w:rsidRDefault="71D30AF0" w:rsidP="71D30A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9C0C" w14:textId="77777777" w:rsidR="00CE48A7" w:rsidRDefault="00CE48A7" w:rsidP="000931C4">
      <w:r>
        <w:separator/>
      </w:r>
    </w:p>
  </w:footnote>
  <w:footnote w:type="continuationSeparator" w:id="0">
    <w:p w14:paraId="770130DD" w14:textId="77777777" w:rsidR="00CE48A7" w:rsidRDefault="00CE48A7" w:rsidP="000931C4">
      <w:r>
        <w:continuationSeparator/>
      </w:r>
    </w:p>
  </w:footnote>
  <w:footnote w:type="continuationNotice" w:id="1">
    <w:p w14:paraId="74EC74FC" w14:textId="77777777" w:rsidR="00CE48A7" w:rsidRDefault="00CE4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r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68ED4DB1" w14:textId="5F566044" w:rsidR="000931C4" w:rsidRDefault="005F1004">
        <w:pPr>
          <w:pStyle w:val="En-tte"/>
          <w:jc w:val="right"/>
          <w:rPr>
            <w:color w:val="7F7F7F" w:themeColor="text1" w:themeTint="80"/>
          </w:rPr>
        </w:pPr>
        <w:r>
          <w:rPr>
            <w:color w:val="7F7F7F" w:themeColor="text1" w:themeTint="80"/>
          </w:rPr>
          <w:t>Mise à jour le 19 juin 2025</w:t>
        </w:r>
      </w:p>
    </w:sdtContent>
  </w:sdt>
  <w:p w14:paraId="72CA80A0" w14:textId="77777777" w:rsidR="000931C4" w:rsidRDefault="000931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1D30AF0" w14:paraId="65CDDED4" w14:textId="77777777" w:rsidTr="71D30AF0">
      <w:trPr>
        <w:trHeight w:val="300"/>
      </w:trPr>
      <w:tc>
        <w:tcPr>
          <w:tcW w:w="2880" w:type="dxa"/>
        </w:tcPr>
        <w:p w14:paraId="78930385" w14:textId="65D434BA" w:rsidR="71D30AF0" w:rsidRDefault="71D30AF0" w:rsidP="71D30AF0">
          <w:pPr>
            <w:pStyle w:val="En-tte"/>
            <w:ind w:left="-115"/>
          </w:pPr>
        </w:p>
      </w:tc>
      <w:tc>
        <w:tcPr>
          <w:tcW w:w="2880" w:type="dxa"/>
        </w:tcPr>
        <w:p w14:paraId="1C16BC22" w14:textId="1A7DA520" w:rsidR="71D30AF0" w:rsidRDefault="71D30AF0" w:rsidP="71D30AF0">
          <w:pPr>
            <w:pStyle w:val="En-tte"/>
            <w:jc w:val="center"/>
          </w:pPr>
        </w:p>
      </w:tc>
      <w:tc>
        <w:tcPr>
          <w:tcW w:w="2880" w:type="dxa"/>
        </w:tcPr>
        <w:p w14:paraId="16697E58" w14:textId="1178F742" w:rsidR="71D30AF0" w:rsidRDefault="71D30AF0" w:rsidP="71D30AF0">
          <w:pPr>
            <w:pStyle w:val="En-tte"/>
            <w:ind w:right="-115"/>
            <w:jc w:val="right"/>
          </w:pPr>
        </w:p>
      </w:tc>
    </w:tr>
  </w:tbl>
  <w:p w14:paraId="0C5B6FF7" w14:textId="0A068841" w:rsidR="71D30AF0" w:rsidRDefault="71D30AF0" w:rsidP="71D30A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5CA0"/>
    <w:multiLevelType w:val="multilevel"/>
    <w:tmpl w:val="12BAA9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914CB6C"/>
    <w:multiLevelType w:val="hybridMultilevel"/>
    <w:tmpl w:val="B9E2A120"/>
    <w:lvl w:ilvl="0" w:tplc="F502CEAE">
      <w:start w:val="21"/>
      <w:numFmt w:val="decimal"/>
      <w:lvlText w:val="%1."/>
      <w:lvlJc w:val="left"/>
      <w:pPr>
        <w:ind w:left="1080" w:hanging="720"/>
      </w:pPr>
    </w:lvl>
    <w:lvl w:ilvl="1" w:tplc="6148630E">
      <w:start w:val="1"/>
      <w:numFmt w:val="lowerLetter"/>
      <w:lvlText w:val="%2."/>
      <w:lvlJc w:val="left"/>
      <w:pPr>
        <w:ind w:left="1440" w:hanging="360"/>
      </w:pPr>
    </w:lvl>
    <w:lvl w:ilvl="2" w:tplc="7C82026A">
      <w:start w:val="1"/>
      <w:numFmt w:val="lowerRoman"/>
      <w:lvlText w:val="%3."/>
      <w:lvlJc w:val="right"/>
      <w:pPr>
        <w:ind w:left="2160" w:hanging="180"/>
      </w:pPr>
    </w:lvl>
    <w:lvl w:ilvl="3" w:tplc="E2F8BEB6">
      <w:start w:val="1"/>
      <w:numFmt w:val="decimal"/>
      <w:lvlText w:val="%4."/>
      <w:lvlJc w:val="left"/>
      <w:pPr>
        <w:ind w:left="2880" w:hanging="360"/>
      </w:pPr>
    </w:lvl>
    <w:lvl w:ilvl="4" w:tplc="FBFC8D82">
      <w:start w:val="1"/>
      <w:numFmt w:val="lowerLetter"/>
      <w:lvlText w:val="%5."/>
      <w:lvlJc w:val="left"/>
      <w:pPr>
        <w:ind w:left="3600" w:hanging="360"/>
      </w:pPr>
    </w:lvl>
    <w:lvl w:ilvl="5" w:tplc="48C2AB30">
      <w:start w:val="1"/>
      <w:numFmt w:val="lowerRoman"/>
      <w:lvlText w:val="%6."/>
      <w:lvlJc w:val="right"/>
      <w:pPr>
        <w:ind w:left="4320" w:hanging="180"/>
      </w:pPr>
    </w:lvl>
    <w:lvl w:ilvl="6" w:tplc="E1BEF3DA">
      <w:start w:val="1"/>
      <w:numFmt w:val="decimal"/>
      <w:lvlText w:val="%7."/>
      <w:lvlJc w:val="left"/>
      <w:pPr>
        <w:ind w:left="5040" w:hanging="360"/>
      </w:pPr>
    </w:lvl>
    <w:lvl w:ilvl="7" w:tplc="781AD80E">
      <w:start w:val="1"/>
      <w:numFmt w:val="lowerLetter"/>
      <w:lvlText w:val="%8."/>
      <w:lvlJc w:val="left"/>
      <w:pPr>
        <w:ind w:left="5760" w:hanging="360"/>
      </w:pPr>
    </w:lvl>
    <w:lvl w:ilvl="8" w:tplc="270EBDB4">
      <w:start w:val="1"/>
      <w:numFmt w:val="lowerRoman"/>
      <w:lvlText w:val="%9."/>
      <w:lvlJc w:val="right"/>
      <w:pPr>
        <w:ind w:left="6480" w:hanging="180"/>
      </w:pPr>
    </w:lvl>
  </w:abstractNum>
  <w:abstractNum w:abstractNumId="2" w15:restartNumberingAfterBreak="0">
    <w:nsid w:val="096220E8"/>
    <w:multiLevelType w:val="hybridMultilevel"/>
    <w:tmpl w:val="0AE4317C"/>
    <w:lvl w:ilvl="0" w:tplc="CE949E26">
      <w:start w:val="7"/>
      <w:numFmt w:val="decimal"/>
      <w:lvlText w:val="%1."/>
      <w:lvlJc w:val="left"/>
      <w:pPr>
        <w:ind w:left="1080" w:hanging="720"/>
      </w:pPr>
    </w:lvl>
    <w:lvl w:ilvl="1" w:tplc="C876CE8E">
      <w:start w:val="1"/>
      <w:numFmt w:val="lowerLetter"/>
      <w:lvlText w:val="%2."/>
      <w:lvlJc w:val="left"/>
      <w:pPr>
        <w:ind w:left="1440" w:hanging="360"/>
      </w:pPr>
    </w:lvl>
    <w:lvl w:ilvl="2" w:tplc="C2D60F14">
      <w:start w:val="1"/>
      <w:numFmt w:val="lowerRoman"/>
      <w:lvlText w:val="%3."/>
      <w:lvlJc w:val="right"/>
      <w:pPr>
        <w:ind w:left="2160" w:hanging="180"/>
      </w:pPr>
    </w:lvl>
    <w:lvl w:ilvl="3" w:tplc="ECA4E682">
      <w:start w:val="1"/>
      <w:numFmt w:val="decimal"/>
      <w:lvlText w:val="%4."/>
      <w:lvlJc w:val="left"/>
      <w:pPr>
        <w:ind w:left="2880" w:hanging="360"/>
      </w:pPr>
    </w:lvl>
    <w:lvl w:ilvl="4" w:tplc="AF723CDA">
      <w:start w:val="1"/>
      <w:numFmt w:val="lowerLetter"/>
      <w:lvlText w:val="%5."/>
      <w:lvlJc w:val="left"/>
      <w:pPr>
        <w:ind w:left="3600" w:hanging="360"/>
      </w:pPr>
    </w:lvl>
    <w:lvl w:ilvl="5" w:tplc="F8A44374">
      <w:start w:val="1"/>
      <w:numFmt w:val="lowerRoman"/>
      <w:lvlText w:val="%6."/>
      <w:lvlJc w:val="right"/>
      <w:pPr>
        <w:ind w:left="4320" w:hanging="180"/>
      </w:pPr>
    </w:lvl>
    <w:lvl w:ilvl="6" w:tplc="0574A53C">
      <w:start w:val="1"/>
      <w:numFmt w:val="decimal"/>
      <w:lvlText w:val="%7."/>
      <w:lvlJc w:val="left"/>
      <w:pPr>
        <w:ind w:left="5040" w:hanging="360"/>
      </w:pPr>
    </w:lvl>
    <w:lvl w:ilvl="7" w:tplc="8572F492">
      <w:start w:val="1"/>
      <w:numFmt w:val="lowerLetter"/>
      <w:lvlText w:val="%8."/>
      <w:lvlJc w:val="left"/>
      <w:pPr>
        <w:ind w:left="5760" w:hanging="360"/>
      </w:pPr>
    </w:lvl>
    <w:lvl w:ilvl="8" w:tplc="378C81F6">
      <w:start w:val="1"/>
      <w:numFmt w:val="lowerRoman"/>
      <w:lvlText w:val="%9."/>
      <w:lvlJc w:val="right"/>
      <w:pPr>
        <w:ind w:left="6480" w:hanging="180"/>
      </w:pPr>
    </w:lvl>
  </w:abstractNum>
  <w:abstractNum w:abstractNumId="3" w15:restartNumberingAfterBreak="0">
    <w:nsid w:val="0B690A79"/>
    <w:multiLevelType w:val="hybridMultilevel"/>
    <w:tmpl w:val="AB126FDC"/>
    <w:lvl w:ilvl="0" w:tplc="D7740130">
      <w:start w:val="1"/>
      <w:numFmt w:val="bullet"/>
      <w:lvlText w:val="-"/>
      <w:lvlJc w:val="left"/>
      <w:pPr>
        <w:ind w:left="720" w:hanging="360"/>
      </w:pPr>
      <w:rPr>
        <w:rFonts w:ascii="Aptos" w:hAnsi="Aptos" w:hint="default"/>
      </w:rPr>
    </w:lvl>
    <w:lvl w:ilvl="1" w:tplc="E500DA58">
      <w:start w:val="1"/>
      <w:numFmt w:val="bullet"/>
      <w:lvlText w:val="o"/>
      <w:lvlJc w:val="left"/>
      <w:pPr>
        <w:ind w:left="1440" w:hanging="360"/>
      </w:pPr>
      <w:rPr>
        <w:rFonts w:ascii="Courier New" w:hAnsi="Courier New" w:hint="default"/>
      </w:rPr>
    </w:lvl>
    <w:lvl w:ilvl="2" w:tplc="0BE6D492">
      <w:start w:val="1"/>
      <w:numFmt w:val="bullet"/>
      <w:lvlText w:val=""/>
      <w:lvlJc w:val="left"/>
      <w:pPr>
        <w:ind w:left="2160" w:hanging="360"/>
      </w:pPr>
      <w:rPr>
        <w:rFonts w:ascii="Wingdings" w:hAnsi="Wingdings" w:hint="default"/>
      </w:rPr>
    </w:lvl>
    <w:lvl w:ilvl="3" w:tplc="968CE6B4">
      <w:start w:val="1"/>
      <w:numFmt w:val="bullet"/>
      <w:lvlText w:val=""/>
      <w:lvlJc w:val="left"/>
      <w:pPr>
        <w:ind w:left="2880" w:hanging="360"/>
      </w:pPr>
      <w:rPr>
        <w:rFonts w:ascii="Symbol" w:hAnsi="Symbol" w:hint="default"/>
      </w:rPr>
    </w:lvl>
    <w:lvl w:ilvl="4" w:tplc="16A04B78">
      <w:start w:val="1"/>
      <w:numFmt w:val="bullet"/>
      <w:lvlText w:val="o"/>
      <w:lvlJc w:val="left"/>
      <w:pPr>
        <w:ind w:left="3600" w:hanging="360"/>
      </w:pPr>
      <w:rPr>
        <w:rFonts w:ascii="Courier New" w:hAnsi="Courier New" w:hint="default"/>
      </w:rPr>
    </w:lvl>
    <w:lvl w:ilvl="5" w:tplc="932C7CF2">
      <w:start w:val="1"/>
      <w:numFmt w:val="bullet"/>
      <w:lvlText w:val=""/>
      <w:lvlJc w:val="left"/>
      <w:pPr>
        <w:ind w:left="4320" w:hanging="360"/>
      </w:pPr>
      <w:rPr>
        <w:rFonts w:ascii="Wingdings" w:hAnsi="Wingdings" w:hint="default"/>
      </w:rPr>
    </w:lvl>
    <w:lvl w:ilvl="6" w:tplc="EA0A4A16">
      <w:start w:val="1"/>
      <w:numFmt w:val="bullet"/>
      <w:lvlText w:val=""/>
      <w:lvlJc w:val="left"/>
      <w:pPr>
        <w:ind w:left="5040" w:hanging="360"/>
      </w:pPr>
      <w:rPr>
        <w:rFonts w:ascii="Symbol" w:hAnsi="Symbol" w:hint="default"/>
      </w:rPr>
    </w:lvl>
    <w:lvl w:ilvl="7" w:tplc="C618237C">
      <w:start w:val="1"/>
      <w:numFmt w:val="bullet"/>
      <w:lvlText w:val="o"/>
      <w:lvlJc w:val="left"/>
      <w:pPr>
        <w:ind w:left="5760" w:hanging="360"/>
      </w:pPr>
      <w:rPr>
        <w:rFonts w:ascii="Courier New" w:hAnsi="Courier New" w:hint="default"/>
      </w:rPr>
    </w:lvl>
    <w:lvl w:ilvl="8" w:tplc="C8944D00">
      <w:start w:val="1"/>
      <w:numFmt w:val="bullet"/>
      <w:lvlText w:val=""/>
      <w:lvlJc w:val="left"/>
      <w:pPr>
        <w:ind w:left="6480" w:hanging="360"/>
      </w:pPr>
      <w:rPr>
        <w:rFonts w:ascii="Wingdings" w:hAnsi="Wingdings" w:hint="default"/>
      </w:rPr>
    </w:lvl>
  </w:abstractNum>
  <w:abstractNum w:abstractNumId="4" w15:restartNumberingAfterBreak="0">
    <w:nsid w:val="0BB4C199"/>
    <w:multiLevelType w:val="hybridMultilevel"/>
    <w:tmpl w:val="36142096"/>
    <w:lvl w:ilvl="0" w:tplc="834A391C">
      <w:start w:val="1"/>
      <w:numFmt w:val="bullet"/>
      <w:lvlText w:val=""/>
      <w:lvlJc w:val="left"/>
      <w:pPr>
        <w:ind w:left="720" w:hanging="360"/>
      </w:pPr>
      <w:rPr>
        <w:rFonts w:ascii="Symbol" w:hAnsi="Symbol" w:hint="default"/>
      </w:rPr>
    </w:lvl>
    <w:lvl w:ilvl="1" w:tplc="7A6C1332">
      <w:start w:val="1"/>
      <w:numFmt w:val="bullet"/>
      <w:lvlText w:val="o"/>
      <w:lvlJc w:val="left"/>
      <w:pPr>
        <w:ind w:left="1440" w:hanging="360"/>
      </w:pPr>
      <w:rPr>
        <w:rFonts w:ascii="Courier New" w:hAnsi="Courier New" w:hint="default"/>
      </w:rPr>
    </w:lvl>
    <w:lvl w:ilvl="2" w:tplc="D520AA52">
      <w:start w:val="1"/>
      <w:numFmt w:val="bullet"/>
      <w:lvlText w:val=""/>
      <w:lvlJc w:val="left"/>
      <w:pPr>
        <w:ind w:left="2160" w:hanging="360"/>
      </w:pPr>
      <w:rPr>
        <w:rFonts w:ascii="Wingdings" w:hAnsi="Wingdings" w:hint="default"/>
      </w:rPr>
    </w:lvl>
    <w:lvl w:ilvl="3" w:tplc="A42815D2">
      <w:start w:val="1"/>
      <w:numFmt w:val="bullet"/>
      <w:lvlText w:val=""/>
      <w:lvlJc w:val="left"/>
      <w:pPr>
        <w:ind w:left="2880" w:hanging="360"/>
      </w:pPr>
      <w:rPr>
        <w:rFonts w:ascii="Symbol" w:hAnsi="Symbol" w:hint="default"/>
      </w:rPr>
    </w:lvl>
    <w:lvl w:ilvl="4" w:tplc="A080EA96">
      <w:start w:val="1"/>
      <w:numFmt w:val="bullet"/>
      <w:lvlText w:val="o"/>
      <w:lvlJc w:val="left"/>
      <w:pPr>
        <w:ind w:left="3600" w:hanging="360"/>
      </w:pPr>
      <w:rPr>
        <w:rFonts w:ascii="Courier New" w:hAnsi="Courier New" w:hint="default"/>
      </w:rPr>
    </w:lvl>
    <w:lvl w:ilvl="5" w:tplc="285E1CCA">
      <w:start w:val="1"/>
      <w:numFmt w:val="bullet"/>
      <w:lvlText w:val=""/>
      <w:lvlJc w:val="left"/>
      <w:pPr>
        <w:ind w:left="4320" w:hanging="360"/>
      </w:pPr>
      <w:rPr>
        <w:rFonts w:ascii="Wingdings" w:hAnsi="Wingdings" w:hint="default"/>
      </w:rPr>
    </w:lvl>
    <w:lvl w:ilvl="6" w:tplc="E8D6DE90">
      <w:start w:val="1"/>
      <w:numFmt w:val="bullet"/>
      <w:lvlText w:val=""/>
      <w:lvlJc w:val="left"/>
      <w:pPr>
        <w:ind w:left="5040" w:hanging="360"/>
      </w:pPr>
      <w:rPr>
        <w:rFonts w:ascii="Symbol" w:hAnsi="Symbol" w:hint="default"/>
      </w:rPr>
    </w:lvl>
    <w:lvl w:ilvl="7" w:tplc="D18A5B46">
      <w:start w:val="1"/>
      <w:numFmt w:val="bullet"/>
      <w:lvlText w:val="o"/>
      <w:lvlJc w:val="left"/>
      <w:pPr>
        <w:ind w:left="5760" w:hanging="360"/>
      </w:pPr>
      <w:rPr>
        <w:rFonts w:ascii="Courier New" w:hAnsi="Courier New" w:hint="default"/>
      </w:rPr>
    </w:lvl>
    <w:lvl w:ilvl="8" w:tplc="0A304DCA">
      <w:start w:val="1"/>
      <w:numFmt w:val="bullet"/>
      <w:lvlText w:val=""/>
      <w:lvlJc w:val="left"/>
      <w:pPr>
        <w:ind w:left="6480" w:hanging="360"/>
      </w:pPr>
      <w:rPr>
        <w:rFonts w:ascii="Wingdings" w:hAnsi="Wingdings" w:hint="default"/>
      </w:rPr>
    </w:lvl>
  </w:abstractNum>
  <w:abstractNum w:abstractNumId="5" w15:restartNumberingAfterBreak="0">
    <w:nsid w:val="1603CCA9"/>
    <w:multiLevelType w:val="hybridMultilevel"/>
    <w:tmpl w:val="BFEA2F28"/>
    <w:lvl w:ilvl="0" w:tplc="848C61BE">
      <w:start w:val="1"/>
      <w:numFmt w:val="decimal"/>
      <w:lvlText w:val="%1)"/>
      <w:lvlJc w:val="left"/>
      <w:pPr>
        <w:ind w:left="720" w:hanging="360"/>
      </w:pPr>
    </w:lvl>
    <w:lvl w:ilvl="1" w:tplc="152C914A">
      <w:start w:val="1"/>
      <w:numFmt w:val="lowerLetter"/>
      <w:lvlText w:val="%2."/>
      <w:lvlJc w:val="left"/>
      <w:pPr>
        <w:ind w:left="1440" w:hanging="360"/>
      </w:pPr>
    </w:lvl>
    <w:lvl w:ilvl="2" w:tplc="4D869654">
      <w:start w:val="1"/>
      <w:numFmt w:val="lowerRoman"/>
      <w:lvlText w:val="%3."/>
      <w:lvlJc w:val="right"/>
      <w:pPr>
        <w:ind w:left="2160" w:hanging="180"/>
      </w:pPr>
    </w:lvl>
    <w:lvl w:ilvl="3" w:tplc="9C284CF4">
      <w:start w:val="1"/>
      <w:numFmt w:val="decimal"/>
      <w:lvlText w:val="%4."/>
      <w:lvlJc w:val="left"/>
      <w:pPr>
        <w:ind w:left="2880" w:hanging="360"/>
      </w:pPr>
    </w:lvl>
    <w:lvl w:ilvl="4" w:tplc="B6347054">
      <w:start w:val="1"/>
      <w:numFmt w:val="lowerLetter"/>
      <w:lvlText w:val="%5."/>
      <w:lvlJc w:val="left"/>
      <w:pPr>
        <w:ind w:left="3600" w:hanging="360"/>
      </w:pPr>
    </w:lvl>
    <w:lvl w:ilvl="5" w:tplc="BDD62EDE">
      <w:start w:val="1"/>
      <w:numFmt w:val="lowerRoman"/>
      <w:lvlText w:val="%6."/>
      <w:lvlJc w:val="right"/>
      <w:pPr>
        <w:ind w:left="4320" w:hanging="180"/>
      </w:pPr>
    </w:lvl>
    <w:lvl w:ilvl="6" w:tplc="42AE58FE">
      <w:start w:val="1"/>
      <w:numFmt w:val="decimal"/>
      <w:lvlText w:val="%7."/>
      <w:lvlJc w:val="left"/>
      <w:pPr>
        <w:ind w:left="5040" w:hanging="360"/>
      </w:pPr>
    </w:lvl>
    <w:lvl w:ilvl="7" w:tplc="A53C7E08">
      <w:start w:val="1"/>
      <w:numFmt w:val="lowerLetter"/>
      <w:lvlText w:val="%8."/>
      <w:lvlJc w:val="left"/>
      <w:pPr>
        <w:ind w:left="5760" w:hanging="360"/>
      </w:pPr>
    </w:lvl>
    <w:lvl w:ilvl="8" w:tplc="91141DE8">
      <w:start w:val="1"/>
      <w:numFmt w:val="lowerRoman"/>
      <w:lvlText w:val="%9."/>
      <w:lvlJc w:val="right"/>
      <w:pPr>
        <w:ind w:left="6480" w:hanging="180"/>
      </w:pPr>
    </w:lvl>
  </w:abstractNum>
  <w:abstractNum w:abstractNumId="6" w15:restartNumberingAfterBreak="0">
    <w:nsid w:val="1744F6E3"/>
    <w:multiLevelType w:val="hybridMultilevel"/>
    <w:tmpl w:val="262E1496"/>
    <w:lvl w:ilvl="0" w:tplc="3110A282">
      <w:start w:val="15"/>
      <w:numFmt w:val="decimal"/>
      <w:lvlText w:val="%1."/>
      <w:lvlJc w:val="left"/>
      <w:pPr>
        <w:ind w:left="1080" w:hanging="720"/>
      </w:pPr>
    </w:lvl>
    <w:lvl w:ilvl="1" w:tplc="D7289256">
      <w:start w:val="1"/>
      <w:numFmt w:val="lowerLetter"/>
      <w:lvlText w:val="%2."/>
      <w:lvlJc w:val="left"/>
      <w:pPr>
        <w:ind w:left="1440" w:hanging="360"/>
      </w:pPr>
    </w:lvl>
    <w:lvl w:ilvl="2" w:tplc="8174AACA">
      <w:start w:val="1"/>
      <w:numFmt w:val="lowerRoman"/>
      <w:lvlText w:val="%3."/>
      <w:lvlJc w:val="right"/>
      <w:pPr>
        <w:ind w:left="2160" w:hanging="180"/>
      </w:pPr>
    </w:lvl>
    <w:lvl w:ilvl="3" w:tplc="A2A402D6">
      <w:start w:val="1"/>
      <w:numFmt w:val="decimal"/>
      <w:lvlText w:val="%4."/>
      <w:lvlJc w:val="left"/>
      <w:pPr>
        <w:ind w:left="2880" w:hanging="360"/>
      </w:pPr>
    </w:lvl>
    <w:lvl w:ilvl="4" w:tplc="17B493F0">
      <w:start w:val="1"/>
      <w:numFmt w:val="lowerLetter"/>
      <w:lvlText w:val="%5."/>
      <w:lvlJc w:val="left"/>
      <w:pPr>
        <w:ind w:left="3600" w:hanging="360"/>
      </w:pPr>
    </w:lvl>
    <w:lvl w:ilvl="5" w:tplc="D2D82366">
      <w:start w:val="1"/>
      <w:numFmt w:val="lowerRoman"/>
      <w:lvlText w:val="%6."/>
      <w:lvlJc w:val="right"/>
      <w:pPr>
        <w:ind w:left="4320" w:hanging="180"/>
      </w:pPr>
    </w:lvl>
    <w:lvl w:ilvl="6" w:tplc="76088302">
      <w:start w:val="1"/>
      <w:numFmt w:val="decimal"/>
      <w:lvlText w:val="%7."/>
      <w:lvlJc w:val="left"/>
      <w:pPr>
        <w:ind w:left="5040" w:hanging="360"/>
      </w:pPr>
    </w:lvl>
    <w:lvl w:ilvl="7" w:tplc="7BAAB688">
      <w:start w:val="1"/>
      <w:numFmt w:val="lowerLetter"/>
      <w:lvlText w:val="%8."/>
      <w:lvlJc w:val="left"/>
      <w:pPr>
        <w:ind w:left="5760" w:hanging="360"/>
      </w:pPr>
    </w:lvl>
    <w:lvl w:ilvl="8" w:tplc="28ACD36C">
      <w:start w:val="1"/>
      <w:numFmt w:val="lowerRoman"/>
      <w:lvlText w:val="%9."/>
      <w:lvlJc w:val="right"/>
      <w:pPr>
        <w:ind w:left="6480" w:hanging="180"/>
      </w:pPr>
    </w:lvl>
  </w:abstractNum>
  <w:abstractNum w:abstractNumId="7" w15:restartNumberingAfterBreak="0">
    <w:nsid w:val="1A0E4E38"/>
    <w:multiLevelType w:val="hybridMultilevel"/>
    <w:tmpl w:val="17B4CC60"/>
    <w:lvl w:ilvl="0" w:tplc="36CC794E">
      <w:start w:val="11"/>
      <w:numFmt w:val="decimal"/>
      <w:lvlText w:val="%1."/>
      <w:lvlJc w:val="left"/>
      <w:pPr>
        <w:ind w:left="1080" w:hanging="720"/>
      </w:pPr>
    </w:lvl>
    <w:lvl w:ilvl="1" w:tplc="40A2ED30">
      <w:start w:val="1"/>
      <w:numFmt w:val="lowerLetter"/>
      <w:lvlText w:val="%2."/>
      <w:lvlJc w:val="left"/>
      <w:pPr>
        <w:ind w:left="1440" w:hanging="360"/>
      </w:pPr>
    </w:lvl>
    <w:lvl w:ilvl="2" w:tplc="F092A116">
      <w:start w:val="1"/>
      <w:numFmt w:val="lowerRoman"/>
      <w:lvlText w:val="%3."/>
      <w:lvlJc w:val="right"/>
      <w:pPr>
        <w:ind w:left="2160" w:hanging="180"/>
      </w:pPr>
    </w:lvl>
    <w:lvl w:ilvl="3" w:tplc="641E5260">
      <w:start w:val="1"/>
      <w:numFmt w:val="decimal"/>
      <w:lvlText w:val="%4."/>
      <w:lvlJc w:val="left"/>
      <w:pPr>
        <w:ind w:left="2880" w:hanging="360"/>
      </w:pPr>
    </w:lvl>
    <w:lvl w:ilvl="4" w:tplc="924AAD52">
      <w:start w:val="1"/>
      <w:numFmt w:val="lowerLetter"/>
      <w:lvlText w:val="%5."/>
      <w:lvlJc w:val="left"/>
      <w:pPr>
        <w:ind w:left="3600" w:hanging="360"/>
      </w:pPr>
    </w:lvl>
    <w:lvl w:ilvl="5" w:tplc="BC14E3BC">
      <w:start w:val="1"/>
      <w:numFmt w:val="lowerRoman"/>
      <w:lvlText w:val="%6."/>
      <w:lvlJc w:val="right"/>
      <w:pPr>
        <w:ind w:left="4320" w:hanging="180"/>
      </w:pPr>
    </w:lvl>
    <w:lvl w:ilvl="6" w:tplc="32A89E3A">
      <w:start w:val="1"/>
      <w:numFmt w:val="decimal"/>
      <w:lvlText w:val="%7."/>
      <w:lvlJc w:val="left"/>
      <w:pPr>
        <w:ind w:left="5040" w:hanging="360"/>
      </w:pPr>
    </w:lvl>
    <w:lvl w:ilvl="7" w:tplc="BEDEC038">
      <w:start w:val="1"/>
      <w:numFmt w:val="lowerLetter"/>
      <w:lvlText w:val="%8."/>
      <w:lvlJc w:val="left"/>
      <w:pPr>
        <w:ind w:left="5760" w:hanging="360"/>
      </w:pPr>
    </w:lvl>
    <w:lvl w:ilvl="8" w:tplc="D908C680">
      <w:start w:val="1"/>
      <w:numFmt w:val="lowerRoman"/>
      <w:lvlText w:val="%9."/>
      <w:lvlJc w:val="right"/>
      <w:pPr>
        <w:ind w:left="6480" w:hanging="180"/>
      </w:pPr>
    </w:lvl>
  </w:abstractNum>
  <w:abstractNum w:abstractNumId="8" w15:restartNumberingAfterBreak="0">
    <w:nsid w:val="1AA197B3"/>
    <w:multiLevelType w:val="multilevel"/>
    <w:tmpl w:val="679E7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F17C45"/>
    <w:multiLevelType w:val="hybridMultilevel"/>
    <w:tmpl w:val="03EA712A"/>
    <w:lvl w:ilvl="0" w:tplc="F126C672">
      <w:start w:val="1"/>
      <w:numFmt w:val="bullet"/>
      <w:lvlText w:val="-"/>
      <w:lvlJc w:val="left"/>
      <w:pPr>
        <w:ind w:left="720" w:hanging="360"/>
      </w:pPr>
      <w:rPr>
        <w:rFonts w:ascii="Aptos" w:hAnsi="Aptos" w:hint="default"/>
      </w:rPr>
    </w:lvl>
    <w:lvl w:ilvl="1" w:tplc="9252E248">
      <w:start w:val="1"/>
      <w:numFmt w:val="bullet"/>
      <w:lvlText w:val="o"/>
      <w:lvlJc w:val="left"/>
      <w:pPr>
        <w:ind w:left="1440" w:hanging="360"/>
      </w:pPr>
      <w:rPr>
        <w:rFonts w:ascii="Courier New" w:hAnsi="Courier New" w:hint="default"/>
      </w:rPr>
    </w:lvl>
    <w:lvl w:ilvl="2" w:tplc="8C3A10E2">
      <w:start w:val="1"/>
      <w:numFmt w:val="bullet"/>
      <w:lvlText w:val=""/>
      <w:lvlJc w:val="left"/>
      <w:pPr>
        <w:ind w:left="2160" w:hanging="360"/>
      </w:pPr>
      <w:rPr>
        <w:rFonts w:ascii="Wingdings" w:hAnsi="Wingdings" w:hint="default"/>
      </w:rPr>
    </w:lvl>
    <w:lvl w:ilvl="3" w:tplc="34645660">
      <w:start w:val="1"/>
      <w:numFmt w:val="bullet"/>
      <w:lvlText w:val=""/>
      <w:lvlJc w:val="left"/>
      <w:pPr>
        <w:ind w:left="2880" w:hanging="360"/>
      </w:pPr>
      <w:rPr>
        <w:rFonts w:ascii="Symbol" w:hAnsi="Symbol" w:hint="default"/>
      </w:rPr>
    </w:lvl>
    <w:lvl w:ilvl="4" w:tplc="0B68EA76">
      <w:start w:val="1"/>
      <w:numFmt w:val="bullet"/>
      <w:lvlText w:val="o"/>
      <w:lvlJc w:val="left"/>
      <w:pPr>
        <w:ind w:left="3600" w:hanging="360"/>
      </w:pPr>
      <w:rPr>
        <w:rFonts w:ascii="Courier New" w:hAnsi="Courier New" w:hint="default"/>
      </w:rPr>
    </w:lvl>
    <w:lvl w:ilvl="5" w:tplc="637642B4">
      <w:start w:val="1"/>
      <w:numFmt w:val="bullet"/>
      <w:lvlText w:val=""/>
      <w:lvlJc w:val="left"/>
      <w:pPr>
        <w:ind w:left="4320" w:hanging="360"/>
      </w:pPr>
      <w:rPr>
        <w:rFonts w:ascii="Wingdings" w:hAnsi="Wingdings" w:hint="default"/>
      </w:rPr>
    </w:lvl>
    <w:lvl w:ilvl="6" w:tplc="84E278DC">
      <w:start w:val="1"/>
      <w:numFmt w:val="bullet"/>
      <w:lvlText w:val=""/>
      <w:lvlJc w:val="left"/>
      <w:pPr>
        <w:ind w:left="5040" w:hanging="360"/>
      </w:pPr>
      <w:rPr>
        <w:rFonts w:ascii="Symbol" w:hAnsi="Symbol" w:hint="default"/>
      </w:rPr>
    </w:lvl>
    <w:lvl w:ilvl="7" w:tplc="005AFB88">
      <w:start w:val="1"/>
      <w:numFmt w:val="bullet"/>
      <w:lvlText w:val="o"/>
      <w:lvlJc w:val="left"/>
      <w:pPr>
        <w:ind w:left="5760" w:hanging="360"/>
      </w:pPr>
      <w:rPr>
        <w:rFonts w:ascii="Courier New" w:hAnsi="Courier New" w:hint="default"/>
      </w:rPr>
    </w:lvl>
    <w:lvl w:ilvl="8" w:tplc="522CCE22">
      <w:start w:val="1"/>
      <w:numFmt w:val="bullet"/>
      <w:lvlText w:val=""/>
      <w:lvlJc w:val="left"/>
      <w:pPr>
        <w:ind w:left="6480" w:hanging="360"/>
      </w:pPr>
      <w:rPr>
        <w:rFonts w:ascii="Wingdings" w:hAnsi="Wingdings" w:hint="default"/>
      </w:rPr>
    </w:lvl>
  </w:abstractNum>
  <w:abstractNum w:abstractNumId="10" w15:restartNumberingAfterBreak="0">
    <w:nsid w:val="1DCBA754"/>
    <w:multiLevelType w:val="hybridMultilevel"/>
    <w:tmpl w:val="05C81888"/>
    <w:lvl w:ilvl="0" w:tplc="8FD69D62">
      <w:start w:val="8"/>
      <w:numFmt w:val="decimal"/>
      <w:lvlText w:val="%1."/>
      <w:lvlJc w:val="left"/>
      <w:pPr>
        <w:ind w:left="1080" w:hanging="720"/>
      </w:pPr>
    </w:lvl>
    <w:lvl w:ilvl="1" w:tplc="62F60FFC">
      <w:start w:val="1"/>
      <w:numFmt w:val="lowerLetter"/>
      <w:lvlText w:val="%2."/>
      <w:lvlJc w:val="left"/>
      <w:pPr>
        <w:ind w:left="1440" w:hanging="360"/>
      </w:pPr>
    </w:lvl>
    <w:lvl w:ilvl="2" w:tplc="751E5C14">
      <w:start w:val="1"/>
      <w:numFmt w:val="lowerRoman"/>
      <w:lvlText w:val="%3."/>
      <w:lvlJc w:val="right"/>
      <w:pPr>
        <w:ind w:left="2160" w:hanging="180"/>
      </w:pPr>
    </w:lvl>
    <w:lvl w:ilvl="3" w:tplc="DCFE9D6A">
      <w:start w:val="1"/>
      <w:numFmt w:val="decimal"/>
      <w:lvlText w:val="%4."/>
      <w:lvlJc w:val="left"/>
      <w:pPr>
        <w:ind w:left="2880" w:hanging="360"/>
      </w:pPr>
    </w:lvl>
    <w:lvl w:ilvl="4" w:tplc="7A7EC04A">
      <w:start w:val="1"/>
      <w:numFmt w:val="lowerLetter"/>
      <w:lvlText w:val="%5."/>
      <w:lvlJc w:val="left"/>
      <w:pPr>
        <w:ind w:left="3600" w:hanging="360"/>
      </w:pPr>
    </w:lvl>
    <w:lvl w:ilvl="5" w:tplc="819A6A92">
      <w:start w:val="1"/>
      <w:numFmt w:val="lowerRoman"/>
      <w:lvlText w:val="%6."/>
      <w:lvlJc w:val="right"/>
      <w:pPr>
        <w:ind w:left="4320" w:hanging="180"/>
      </w:pPr>
    </w:lvl>
    <w:lvl w:ilvl="6" w:tplc="05723188">
      <w:start w:val="1"/>
      <w:numFmt w:val="decimal"/>
      <w:lvlText w:val="%7."/>
      <w:lvlJc w:val="left"/>
      <w:pPr>
        <w:ind w:left="5040" w:hanging="360"/>
      </w:pPr>
    </w:lvl>
    <w:lvl w:ilvl="7" w:tplc="97AC3088">
      <w:start w:val="1"/>
      <w:numFmt w:val="lowerLetter"/>
      <w:lvlText w:val="%8."/>
      <w:lvlJc w:val="left"/>
      <w:pPr>
        <w:ind w:left="5760" w:hanging="360"/>
      </w:pPr>
    </w:lvl>
    <w:lvl w:ilvl="8" w:tplc="4D342720">
      <w:start w:val="1"/>
      <w:numFmt w:val="lowerRoman"/>
      <w:lvlText w:val="%9."/>
      <w:lvlJc w:val="right"/>
      <w:pPr>
        <w:ind w:left="6480" w:hanging="180"/>
      </w:pPr>
    </w:lvl>
  </w:abstractNum>
  <w:abstractNum w:abstractNumId="11" w15:restartNumberingAfterBreak="0">
    <w:nsid w:val="1F3858F9"/>
    <w:multiLevelType w:val="hybridMultilevel"/>
    <w:tmpl w:val="41A4834E"/>
    <w:lvl w:ilvl="0" w:tplc="BE0AFDEA">
      <w:start w:val="1"/>
      <w:numFmt w:val="decimal"/>
      <w:lvlText w:val="%1."/>
      <w:lvlJc w:val="left"/>
      <w:pPr>
        <w:ind w:left="720" w:hanging="360"/>
      </w:pPr>
    </w:lvl>
    <w:lvl w:ilvl="1" w:tplc="8F868F1A">
      <w:start w:val="1"/>
      <w:numFmt w:val="lowerLetter"/>
      <w:lvlText w:val="%2."/>
      <w:lvlJc w:val="left"/>
      <w:pPr>
        <w:ind w:left="1440" w:hanging="360"/>
      </w:pPr>
    </w:lvl>
    <w:lvl w:ilvl="2" w:tplc="7466D7CE">
      <w:start w:val="1"/>
      <w:numFmt w:val="lowerRoman"/>
      <w:lvlText w:val="%3."/>
      <w:lvlJc w:val="right"/>
      <w:pPr>
        <w:ind w:left="2160" w:hanging="180"/>
      </w:pPr>
    </w:lvl>
    <w:lvl w:ilvl="3" w:tplc="A3326138">
      <w:start w:val="1"/>
      <w:numFmt w:val="decimal"/>
      <w:lvlText w:val="%4."/>
      <w:lvlJc w:val="left"/>
      <w:pPr>
        <w:ind w:left="2880" w:hanging="360"/>
      </w:pPr>
    </w:lvl>
    <w:lvl w:ilvl="4" w:tplc="22488872">
      <w:start w:val="1"/>
      <w:numFmt w:val="lowerLetter"/>
      <w:lvlText w:val="%5."/>
      <w:lvlJc w:val="left"/>
      <w:pPr>
        <w:ind w:left="3600" w:hanging="360"/>
      </w:pPr>
    </w:lvl>
    <w:lvl w:ilvl="5" w:tplc="E496CB86">
      <w:start w:val="1"/>
      <w:numFmt w:val="lowerRoman"/>
      <w:lvlText w:val="%6."/>
      <w:lvlJc w:val="right"/>
      <w:pPr>
        <w:ind w:left="4320" w:hanging="180"/>
      </w:pPr>
    </w:lvl>
    <w:lvl w:ilvl="6" w:tplc="6334216C">
      <w:start w:val="1"/>
      <w:numFmt w:val="decimal"/>
      <w:lvlText w:val="%7."/>
      <w:lvlJc w:val="left"/>
      <w:pPr>
        <w:ind w:left="5040" w:hanging="360"/>
      </w:pPr>
    </w:lvl>
    <w:lvl w:ilvl="7" w:tplc="972603DA">
      <w:start w:val="1"/>
      <w:numFmt w:val="lowerLetter"/>
      <w:lvlText w:val="%8."/>
      <w:lvlJc w:val="left"/>
      <w:pPr>
        <w:ind w:left="5760" w:hanging="360"/>
      </w:pPr>
    </w:lvl>
    <w:lvl w:ilvl="8" w:tplc="3F24C6AE">
      <w:start w:val="1"/>
      <w:numFmt w:val="lowerRoman"/>
      <w:lvlText w:val="%9."/>
      <w:lvlJc w:val="right"/>
      <w:pPr>
        <w:ind w:left="6480" w:hanging="180"/>
      </w:pPr>
    </w:lvl>
  </w:abstractNum>
  <w:abstractNum w:abstractNumId="12" w15:restartNumberingAfterBreak="0">
    <w:nsid w:val="252BE52B"/>
    <w:multiLevelType w:val="multilevel"/>
    <w:tmpl w:val="DD583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1CD64"/>
    <w:multiLevelType w:val="multilevel"/>
    <w:tmpl w:val="6524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D0BDFB"/>
    <w:multiLevelType w:val="hybridMultilevel"/>
    <w:tmpl w:val="8D86BA3E"/>
    <w:lvl w:ilvl="0" w:tplc="519AFCAE">
      <w:start w:val="1"/>
      <w:numFmt w:val="bullet"/>
      <w:lvlText w:val="-"/>
      <w:lvlJc w:val="left"/>
      <w:pPr>
        <w:ind w:left="720" w:hanging="360"/>
      </w:pPr>
      <w:rPr>
        <w:rFonts w:ascii="Aptos" w:hAnsi="Aptos" w:hint="default"/>
      </w:rPr>
    </w:lvl>
    <w:lvl w:ilvl="1" w:tplc="4C14F93E">
      <w:start w:val="1"/>
      <w:numFmt w:val="bullet"/>
      <w:lvlText w:val="o"/>
      <w:lvlJc w:val="left"/>
      <w:pPr>
        <w:ind w:left="1440" w:hanging="360"/>
      </w:pPr>
      <w:rPr>
        <w:rFonts w:ascii="Courier New" w:hAnsi="Courier New" w:hint="default"/>
      </w:rPr>
    </w:lvl>
    <w:lvl w:ilvl="2" w:tplc="73121432">
      <w:start w:val="1"/>
      <w:numFmt w:val="bullet"/>
      <w:lvlText w:val=""/>
      <w:lvlJc w:val="left"/>
      <w:pPr>
        <w:ind w:left="2160" w:hanging="360"/>
      </w:pPr>
      <w:rPr>
        <w:rFonts w:ascii="Wingdings" w:hAnsi="Wingdings" w:hint="default"/>
      </w:rPr>
    </w:lvl>
    <w:lvl w:ilvl="3" w:tplc="2B96965E">
      <w:start w:val="1"/>
      <w:numFmt w:val="bullet"/>
      <w:lvlText w:val=""/>
      <w:lvlJc w:val="left"/>
      <w:pPr>
        <w:ind w:left="2880" w:hanging="360"/>
      </w:pPr>
      <w:rPr>
        <w:rFonts w:ascii="Symbol" w:hAnsi="Symbol" w:hint="default"/>
      </w:rPr>
    </w:lvl>
    <w:lvl w:ilvl="4" w:tplc="3078F014">
      <w:start w:val="1"/>
      <w:numFmt w:val="bullet"/>
      <w:lvlText w:val="o"/>
      <w:lvlJc w:val="left"/>
      <w:pPr>
        <w:ind w:left="3600" w:hanging="360"/>
      </w:pPr>
      <w:rPr>
        <w:rFonts w:ascii="Courier New" w:hAnsi="Courier New" w:hint="default"/>
      </w:rPr>
    </w:lvl>
    <w:lvl w:ilvl="5" w:tplc="B60EC462">
      <w:start w:val="1"/>
      <w:numFmt w:val="bullet"/>
      <w:lvlText w:val=""/>
      <w:lvlJc w:val="left"/>
      <w:pPr>
        <w:ind w:left="4320" w:hanging="360"/>
      </w:pPr>
      <w:rPr>
        <w:rFonts w:ascii="Wingdings" w:hAnsi="Wingdings" w:hint="default"/>
      </w:rPr>
    </w:lvl>
    <w:lvl w:ilvl="6" w:tplc="88AE13B6">
      <w:start w:val="1"/>
      <w:numFmt w:val="bullet"/>
      <w:lvlText w:val=""/>
      <w:lvlJc w:val="left"/>
      <w:pPr>
        <w:ind w:left="5040" w:hanging="360"/>
      </w:pPr>
      <w:rPr>
        <w:rFonts w:ascii="Symbol" w:hAnsi="Symbol" w:hint="default"/>
      </w:rPr>
    </w:lvl>
    <w:lvl w:ilvl="7" w:tplc="773A6F04">
      <w:start w:val="1"/>
      <w:numFmt w:val="bullet"/>
      <w:lvlText w:val="o"/>
      <w:lvlJc w:val="left"/>
      <w:pPr>
        <w:ind w:left="5760" w:hanging="360"/>
      </w:pPr>
      <w:rPr>
        <w:rFonts w:ascii="Courier New" w:hAnsi="Courier New" w:hint="default"/>
      </w:rPr>
    </w:lvl>
    <w:lvl w:ilvl="8" w:tplc="6E226C8E">
      <w:start w:val="1"/>
      <w:numFmt w:val="bullet"/>
      <w:lvlText w:val=""/>
      <w:lvlJc w:val="left"/>
      <w:pPr>
        <w:ind w:left="6480" w:hanging="360"/>
      </w:pPr>
      <w:rPr>
        <w:rFonts w:ascii="Wingdings" w:hAnsi="Wingdings" w:hint="default"/>
      </w:rPr>
    </w:lvl>
  </w:abstractNum>
  <w:abstractNum w:abstractNumId="15" w15:restartNumberingAfterBreak="0">
    <w:nsid w:val="2C059666"/>
    <w:multiLevelType w:val="hybridMultilevel"/>
    <w:tmpl w:val="3020C548"/>
    <w:lvl w:ilvl="0" w:tplc="E16A5EE8">
      <w:start w:val="1"/>
      <w:numFmt w:val="decimal"/>
      <w:lvlText w:val="%1."/>
      <w:lvlJc w:val="left"/>
      <w:pPr>
        <w:ind w:left="720" w:hanging="360"/>
      </w:pPr>
    </w:lvl>
    <w:lvl w:ilvl="1" w:tplc="684A434E">
      <w:start w:val="1"/>
      <w:numFmt w:val="lowerLetter"/>
      <w:lvlText w:val="%2."/>
      <w:lvlJc w:val="left"/>
      <w:pPr>
        <w:ind w:left="1440" w:hanging="360"/>
      </w:pPr>
    </w:lvl>
    <w:lvl w:ilvl="2" w:tplc="9E165288">
      <w:start w:val="1"/>
      <w:numFmt w:val="lowerRoman"/>
      <w:lvlText w:val="%3."/>
      <w:lvlJc w:val="right"/>
      <w:pPr>
        <w:ind w:left="2160" w:hanging="180"/>
      </w:pPr>
    </w:lvl>
    <w:lvl w:ilvl="3" w:tplc="8286D42C">
      <w:start w:val="1"/>
      <w:numFmt w:val="decimal"/>
      <w:lvlText w:val="%4."/>
      <w:lvlJc w:val="left"/>
      <w:pPr>
        <w:ind w:left="2880" w:hanging="360"/>
      </w:pPr>
    </w:lvl>
    <w:lvl w:ilvl="4" w:tplc="2064DED8">
      <w:start w:val="1"/>
      <w:numFmt w:val="lowerLetter"/>
      <w:lvlText w:val="%5."/>
      <w:lvlJc w:val="left"/>
      <w:pPr>
        <w:ind w:left="3600" w:hanging="360"/>
      </w:pPr>
    </w:lvl>
    <w:lvl w:ilvl="5" w:tplc="BBA2F080">
      <w:start w:val="1"/>
      <w:numFmt w:val="lowerRoman"/>
      <w:lvlText w:val="%6."/>
      <w:lvlJc w:val="right"/>
      <w:pPr>
        <w:ind w:left="4320" w:hanging="180"/>
      </w:pPr>
    </w:lvl>
    <w:lvl w:ilvl="6" w:tplc="295613DC">
      <w:start w:val="1"/>
      <w:numFmt w:val="decimal"/>
      <w:lvlText w:val="%7."/>
      <w:lvlJc w:val="left"/>
      <w:pPr>
        <w:ind w:left="5040" w:hanging="360"/>
      </w:pPr>
    </w:lvl>
    <w:lvl w:ilvl="7" w:tplc="3BC41F2C">
      <w:start w:val="1"/>
      <w:numFmt w:val="lowerLetter"/>
      <w:lvlText w:val="%8."/>
      <w:lvlJc w:val="left"/>
      <w:pPr>
        <w:ind w:left="5760" w:hanging="360"/>
      </w:pPr>
    </w:lvl>
    <w:lvl w:ilvl="8" w:tplc="3182C618">
      <w:start w:val="1"/>
      <w:numFmt w:val="lowerRoman"/>
      <w:lvlText w:val="%9."/>
      <w:lvlJc w:val="right"/>
      <w:pPr>
        <w:ind w:left="6480" w:hanging="180"/>
      </w:pPr>
    </w:lvl>
  </w:abstractNum>
  <w:abstractNum w:abstractNumId="16" w15:restartNumberingAfterBreak="0">
    <w:nsid w:val="31AD154C"/>
    <w:multiLevelType w:val="hybridMultilevel"/>
    <w:tmpl w:val="451C90A6"/>
    <w:lvl w:ilvl="0" w:tplc="BA20F792">
      <w:start w:val="6"/>
      <w:numFmt w:val="decimal"/>
      <w:lvlText w:val="%1."/>
      <w:lvlJc w:val="left"/>
      <w:pPr>
        <w:ind w:left="1080" w:hanging="720"/>
      </w:pPr>
    </w:lvl>
    <w:lvl w:ilvl="1" w:tplc="1D04688A">
      <w:start w:val="1"/>
      <w:numFmt w:val="lowerLetter"/>
      <w:lvlText w:val="%2."/>
      <w:lvlJc w:val="left"/>
      <w:pPr>
        <w:ind w:left="1440" w:hanging="360"/>
      </w:pPr>
    </w:lvl>
    <w:lvl w:ilvl="2" w:tplc="CDEA43F6">
      <w:start w:val="1"/>
      <w:numFmt w:val="lowerRoman"/>
      <w:lvlText w:val="%3."/>
      <w:lvlJc w:val="right"/>
      <w:pPr>
        <w:ind w:left="2160" w:hanging="180"/>
      </w:pPr>
    </w:lvl>
    <w:lvl w:ilvl="3" w:tplc="A476AD8A">
      <w:start w:val="1"/>
      <w:numFmt w:val="decimal"/>
      <w:lvlText w:val="%4."/>
      <w:lvlJc w:val="left"/>
      <w:pPr>
        <w:ind w:left="2880" w:hanging="360"/>
      </w:pPr>
    </w:lvl>
    <w:lvl w:ilvl="4" w:tplc="09567F34">
      <w:start w:val="1"/>
      <w:numFmt w:val="lowerLetter"/>
      <w:lvlText w:val="%5."/>
      <w:lvlJc w:val="left"/>
      <w:pPr>
        <w:ind w:left="3600" w:hanging="360"/>
      </w:pPr>
    </w:lvl>
    <w:lvl w:ilvl="5" w:tplc="89E23BBC">
      <w:start w:val="1"/>
      <w:numFmt w:val="lowerRoman"/>
      <w:lvlText w:val="%6."/>
      <w:lvlJc w:val="right"/>
      <w:pPr>
        <w:ind w:left="4320" w:hanging="180"/>
      </w:pPr>
    </w:lvl>
    <w:lvl w:ilvl="6" w:tplc="250CAB52">
      <w:start w:val="1"/>
      <w:numFmt w:val="decimal"/>
      <w:lvlText w:val="%7."/>
      <w:lvlJc w:val="left"/>
      <w:pPr>
        <w:ind w:left="5040" w:hanging="360"/>
      </w:pPr>
    </w:lvl>
    <w:lvl w:ilvl="7" w:tplc="EB8E2B12">
      <w:start w:val="1"/>
      <w:numFmt w:val="lowerLetter"/>
      <w:lvlText w:val="%8."/>
      <w:lvlJc w:val="left"/>
      <w:pPr>
        <w:ind w:left="5760" w:hanging="360"/>
      </w:pPr>
    </w:lvl>
    <w:lvl w:ilvl="8" w:tplc="9D508628">
      <w:start w:val="1"/>
      <w:numFmt w:val="lowerRoman"/>
      <w:lvlText w:val="%9."/>
      <w:lvlJc w:val="right"/>
      <w:pPr>
        <w:ind w:left="6480" w:hanging="180"/>
      </w:pPr>
    </w:lvl>
  </w:abstractNum>
  <w:abstractNum w:abstractNumId="17" w15:restartNumberingAfterBreak="0">
    <w:nsid w:val="362CC087"/>
    <w:multiLevelType w:val="hybridMultilevel"/>
    <w:tmpl w:val="9870A75C"/>
    <w:lvl w:ilvl="0" w:tplc="DEFACB14">
      <w:start w:val="1"/>
      <w:numFmt w:val="bullet"/>
      <w:lvlText w:val=""/>
      <w:lvlJc w:val="left"/>
      <w:pPr>
        <w:ind w:left="720" w:hanging="360"/>
      </w:pPr>
      <w:rPr>
        <w:rFonts w:ascii="Symbol" w:hAnsi="Symbol" w:hint="default"/>
      </w:rPr>
    </w:lvl>
    <w:lvl w:ilvl="1" w:tplc="509A7EE4">
      <w:start w:val="1"/>
      <w:numFmt w:val="bullet"/>
      <w:lvlText w:val="o"/>
      <w:lvlJc w:val="left"/>
      <w:pPr>
        <w:ind w:left="1440" w:hanging="360"/>
      </w:pPr>
      <w:rPr>
        <w:rFonts w:ascii="Courier New" w:hAnsi="Courier New" w:hint="default"/>
      </w:rPr>
    </w:lvl>
    <w:lvl w:ilvl="2" w:tplc="6E8693E4">
      <w:start w:val="1"/>
      <w:numFmt w:val="bullet"/>
      <w:lvlText w:val=""/>
      <w:lvlJc w:val="left"/>
      <w:pPr>
        <w:ind w:left="2160" w:hanging="360"/>
      </w:pPr>
      <w:rPr>
        <w:rFonts w:ascii="Wingdings" w:hAnsi="Wingdings" w:hint="default"/>
      </w:rPr>
    </w:lvl>
    <w:lvl w:ilvl="3" w:tplc="FF52B116">
      <w:start w:val="1"/>
      <w:numFmt w:val="bullet"/>
      <w:lvlText w:val=""/>
      <w:lvlJc w:val="left"/>
      <w:pPr>
        <w:ind w:left="2880" w:hanging="360"/>
      </w:pPr>
      <w:rPr>
        <w:rFonts w:ascii="Symbol" w:hAnsi="Symbol" w:hint="default"/>
      </w:rPr>
    </w:lvl>
    <w:lvl w:ilvl="4" w:tplc="10DC313E">
      <w:start w:val="1"/>
      <w:numFmt w:val="bullet"/>
      <w:lvlText w:val="o"/>
      <w:lvlJc w:val="left"/>
      <w:pPr>
        <w:ind w:left="3600" w:hanging="360"/>
      </w:pPr>
      <w:rPr>
        <w:rFonts w:ascii="Courier New" w:hAnsi="Courier New" w:hint="default"/>
      </w:rPr>
    </w:lvl>
    <w:lvl w:ilvl="5" w:tplc="7670386A">
      <w:start w:val="1"/>
      <w:numFmt w:val="bullet"/>
      <w:lvlText w:val=""/>
      <w:lvlJc w:val="left"/>
      <w:pPr>
        <w:ind w:left="4320" w:hanging="360"/>
      </w:pPr>
      <w:rPr>
        <w:rFonts w:ascii="Wingdings" w:hAnsi="Wingdings" w:hint="default"/>
      </w:rPr>
    </w:lvl>
    <w:lvl w:ilvl="6" w:tplc="CCD45F3E">
      <w:start w:val="1"/>
      <w:numFmt w:val="bullet"/>
      <w:lvlText w:val=""/>
      <w:lvlJc w:val="left"/>
      <w:pPr>
        <w:ind w:left="5040" w:hanging="360"/>
      </w:pPr>
      <w:rPr>
        <w:rFonts w:ascii="Symbol" w:hAnsi="Symbol" w:hint="default"/>
      </w:rPr>
    </w:lvl>
    <w:lvl w:ilvl="7" w:tplc="6A8CDBE8">
      <w:start w:val="1"/>
      <w:numFmt w:val="bullet"/>
      <w:lvlText w:val="o"/>
      <w:lvlJc w:val="left"/>
      <w:pPr>
        <w:ind w:left="5760" w:hanging="360"/>
      </w:pPr>
      <w:rPr>
        <w:rFonts w:ascii="Courier New" w:hAnsi="Courier New" w:hint="default"/>
      </w:rPr>
    </w:lvl>
    <w:lvl w:ilvl="8" w:tplc="E3DCF294">
      <w:start w:val="1"/>
      <w:numFmt w:val="bullet"/>
      <w:lvlText w:val=""/>
      <w:lvlJc w:val="left"/>
      <w:pPr>
        <w:ind w:left="6480" w:hanging="360"/>
      </w:pPr>
      <w:rPr>
        <w:rFonts w:ascii="Wingdings" w:hAnsi="Wingdings" w:hint="default"/>
      </w:rPr>
    </w:lvl>
  </w:abstractNum>
  <w:abstractNum w:abstractNumId="18" w15:restartNumberingAfterBreak="0">
    <w:nsid w:val="3A68059D"/>
    <w:multiLevelType w:val="multilevel"/>
    <w:tmpl w:val="300CA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4F3229"/>
    <w:multiLevelType w:val="multilevel"/>
    <w:tmpl w:val="D62E4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B1859E"/>
    <w:multiLevelType w:val="multilevel"/>
    <w:tmpl w:val="58BA5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46FCFB"/>
    <w:multiLevelType w:val="hybridMultilevel"/>
    <w:tmpl w:val="2DA202BA"/>
    <w:lvl w:ilvl="0" w:tplc="D638CE4E">
      <w:start w:val="1"/>
      <w:numFmt w:val="bullet"/>
      <w:lvlText w:val=""/>
      <w:lvlJc w:val="left"/>
      <w:pPr>
        <w:ind w:left="1800" w:hanging="360"/>
      </w:pPr>
      <w:rPr>
        <w:rFonts w:ascii="Symbol" w:hAnsi="Symbol" w:hint="default"/>
      </w:rPr>
    </w:lvl>
    <w:lvl w:ilvl="1" w:tplc="05828DB8">
      <w:start w:val="1"/>
      <w:numFmt w:val="bullet"/>
      <w:lvlText w:val="o"/>
      <w:lvlJc w:val="left"/>
      <w:pPr>
        <w:ind w:left="1440" w:hanging="360"/>
      </w:pPr>
      <w:rPr>
        <w:rFonts w:ascii="Courier New" w:hAnsi="Courier New" w:hint="default"/>
      </w:rPr>
    </w:lvl>
    <w:lvl w:ilvl="2" w:tplc="580C37D0">
      <w:start w:val="1"/>
      <w:numFmt w:val="bullet"/>
      <w:lvlText w:val=""/>
      <w:lvlJc w:val="left"/>
      <w:pPr>
        <w:ind w:left="2160" w:hanging="360"/>
      </w:pPr>
      <w:rPr>
        <w:rFonts w:ascii="Wingdings" w:hAnsi="Wingdings" w:hint="default"/>
      </w:rPr>
    </w:lvl>
    <w:lvl w:ilvl="3" w:tplc="A008CAAE">
      <w:start w:val="1"/>
      <w:numFmt w:val="bullet"/>
      <w:lvlText w:val=""/>
      <w:lvlJc w:val="left"/>
      <w:pPr>
        <w:ind w:left="2880" w:hanging="360"/>
      </w:pPr>
      <w:rPr>
        <w:rFonts w:ascii="Symbol" w:hAnsi="Symbol" w:hint="default"/>
      </w:rPr>
    </w:lvl>
    <w:lvl w:ilvl="4" w:tplc="1E9A80CE">
      <w:start w:val="1"/>
      <w:numFmt w:val="bullet"/>
      <w:lvlText w:val="o"/>
      <w:lvlJc w:val="left"/>
      <w:pPr>
        <w:ind w:left="3600" w:hanging="360"/>
      </w:pPr>
      <w:rPr>
        <w:rFonts w:ascii="Courier New" w:hAnsi="Courier New" w:hint="default"/>
      </w:rPr>
    </w:lvl>
    <w:lvl w:ilvl="5" w:tplc="C76E65A6">
      <w:start w:val="1"/>
      <w:numFmt w:val="bullet"/>
      <w:lvlText w:val=""/>
      <w:lvlJc w:val="left"/>
      <w:pPr>
        <w:ind w:left="4320" w:hanging="360"/>
      </w:pPr>
      <w:rPr>
        <w:rFonts w:ascii="Wingdings" w:hAnsi="Wingdings" w:hint="default"/>
      </w:rPr>
    </w:lvl>
    <w:lvl w:ilvl="6" w:tplc="29669E64">
      <w:start w:val="1"/>
      <w:numFmt w:val="bullet"/>
      <w:lvlText w:val=""/>
      <w:lvlJc w:val="left"/>
      <w:pPr>
        <w:ind w:left="5040" w:hanging="360"/>
      </w:pPr>
      <w:rPr>
        <w:rFonts w:ascii="Symbol" w:hAnsi="Symbol" w:hint="default"/>
      </w:rPr>
    </w:lvl>
    <w:lvl w:ilvl="7" w:tplc="E690BB12">
      <w:start w:val="1"/>
      <w:numFmt w:val="bullet"/>
      <w:lvlText w:val="o"/>
      <w:lvlJc w:val="left"/>
      <w:pPr>
        <w:ind w:left="5760" w:hanging="360"/>
      </w:pPr>
      <w:rPr>
        <w:rFonts w:ascii="Courier New" w:hAnsi="Courier New" w:hint="default"/>
      </w:rPr>
    </w:lvl>
    <w:lvl w:ilvl="8" w:tplc="3E62C674">
      <w:start w:val="1"/>
      <w:numFmt w:val="bullet"/>
      <w:lvlText w:val=""/>
      <w:lvlJc w:val="left"/>
      <w:pPr>
        <w:ind w:left="6480" w:hanging="360"/>
      </w:pPr>
      <w:rPr>
        <w:rFonts w:ascii="Wingdings" w:hAnsi="Wingdings" w:hint="default"/>
      </w:rPr>
    </w:lvl>
  </w:abstractNum>
  <w:abstractNum w:abstractNumId="22" w15:restartNumberingAfterBreak="0">
    <w:nsid w:val="3EBE3CA4"/>
    <w:multiLevelType w:val="hybridMultilevel"/>
    <w:tmpl w:val="AEA20A46"/>
    <w:lvl w:ilvl="0" w:tplc="8F345CC4">
      <w:start w:val="1"/>
      <w:numFmt w:val="bullet"/>
      <w:lvlText w:val=""/>
      <w:lvlJc w:val="left"/>
      <w:pPr>
        <w:ind w:left="720" w:hanging="360"/>
      </w:pPr>
      <w:rPr>
        <w:rFonts w:ascii="Symbol" w:hAnsi="Symbol" w:hint="default"/>
      </w:rPr>
    </w:lvl>
    <w:lvl w:ilvl="1" w:tplc="546C1CBA">
      <w:start w:val="1"/>
      <w:numFmt w:val="bullet"/>
      <w:lvlText w:val="o"/>
      <w:lvlJc w:val="left"/>
      <w:pPr>
        <w:ind w:left="1440" w:hanging="360"/>
      </w:pPr>
      <w:rPr>
        <w:rFonts w:ascii="Courier New" w:hAnsi="Courier New" w:hint="default"/>
      </w:rPr>
    </w:lvl>
    <w:lvl w:ilvl="2" w:tplc="658AF1F6">
      <w:start w:val="1"/>
      <w:numFmt w:val="bullet"/>
      <w:lvlText w:val=""/>
      <w:lvlJc w:val="left"/>
      <w:pPr>
        <w:ind w:left="2160" w:hanging="360"/>
      </w:pPr>
      <w:rPr>
        <w:rFonts w:ascii="Wingdings" w:hAnsi="Wingdings" w:hint="default"/>
      </w:rPr>
    </w:lvl>
    <w:lvl w:ilvl="3" w:tplc="F56A9562">
      <w:start w:val="1"/>
      <w:numFmt w:val="bullet"/>
      <w:lvlText w:val=""/>
      <w:lvlJc w:val="left"/>
      <w:pPr>
        <w:ind w:left="2880" w:hanging="360"/>
      </w:pPr>
      <w:rPr>
        <w:rFonts w:ascii="Symbol" w:hAnsi="Symbol" w:hint="default"/>
      </w:rPr>
    </w:lvl>
    <w:lvl w:ilvl="4" w:tplc="766EC262">
      <w:start w:val="1"/>
      <w:numFmt w:val="bullet"/>
      <w:lvlText w:val="o"/>
      <w:lvlJc w:val="left"/>
      <w:pPr>
        <w:ind w:left="3600" w:hanging="360"/>
      </w:pPr>
      <w:rPr>
        <w:rFonts w:ascii="Courier New" w:hAnsi="Courier New" w:hint="default"/>
      </w:rPr>
    </w:lvl>
    <w:lvl w:ilvl="5" w:tplc="AE161ECC">
      <w:start w:val="1"/>
      <w:numFmt w:val="bullet"/>
      <w:lvlText w:val=""/>
      <w:lvlJc w:val="left"/>
      <w:pPr>
        <w:ind w:left="4320" w:hanging="360"/>
      </w:pPr>
      <w:rPr>
        <w:rFonts w:ascii="Wingdings" w:hAnsi="Wingdings" w:hint="default"/>
      </w:rPr>
    </w:lvl>
    <w:lvl w:ilvl="6" w:tplc="B9100F00">
      <w:start w:val="1"/>
      <w:numFmt w:val="bullet"/>
      <w:lvlText w:val=""/>
      <w:lvlJc w:val="left"/>
      <w:pPr>
        <w:ind w:left="5040" w:hanging="360"/>
      </w:pPr>
      <w:rPr>
        <w:rFonts w:ascii="Symbol" w:hAnsi="Symbol" w:hint="default"/>
      </w:rPr>
    </w:lvl>
    <w:lvl w:ilvl="7" w:tplc="C0C62604">
      <w:start w:val="1"/>
      <w:numFmt w:val="bullet"/>
      <w:lvlText w:val="o"/>
      <w:lvlJc w:val="left"/>
      <w:pPr>
        <w:ind w:left="5760" w:hanging="360"/>
      </w:pPr>
      <w:rPr>
        <w:rFonts w:ascii="Courier New" w:hAnsi="Courier New" w:hint="default"/>
      </w:rPr>
    </w:lvl>
    <w:lvl w:ilvl="8" w:tplc="F4145250">
      <w:start w:val="1"/>
      <w:numFmt w:val="bullet"/>
      <w:lvlText w:val=""/>
      <w:lvlJc w:val="left"/>
      <w:pPr>
        <w:ind w:left="6480" w:hanging="360"/>
      </w:pPr>
      <w:rPr>
        <w:rFonts w:ascii="Wingdings" w:hAnsi="Wingdings" w:hint="default"/>
      </w:rPr>
    </w:lvl>
  </w:abstractNum>
  <w:abstractNum w:abstractNumId="23" w15:restartNumberingAfterBreak="0">
    <w:nsid w:val="435F9A5E"/>
    <w:multiLevelType w:val="multilevel"/>
    <w:tmpl w:val="09F42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D9789E"/>
    <w:multiLevelType w:val="multilevel"/>
    <w:tmpl w:val="FB92B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99D619"/>
    <w:multiLevelType w:val="hybridMultilevel"/>
    <w:tmpl w:val="4B7C27BE"/>
    <w:lvl w:ilvl="0" w:tplc="0C0ED4F2">
      <w:start w:val="1"/>
      <w:numFmt w:val="bullet"/>
      <w:lvlText w:val=""/>
      <w:lvlJc w:val="left"/>
      <w:pPr>
        <w:ind w:left="720" w:hanging="360"/>
      </w:pPr>
      <w:rPr>
        <w:rFonts w:ascii="Symbol" w:hAnsi="Symbol" w:hint="default"/>
      </w:rPr>
    </w:lvl>
    <w:lvl w:ilvl="1" w:tplc="D16EF88A">
      <w:start w:val="1"/>
      <w:numFmt w:val="bullet"/>
      <w:lvlText w:val="o"/>
      <w:lvlJc w:val="left"/>
      <w:pPr>
        <w:ind w:left="1440" w:hanging="360"/>
      </w:pPr>
      <w:rPr>
        <w:rFonts w:ascii="Courier New" w:hAnsi="Courier New" w:hint="default"/>
      </w:rPr>
    </w:lvl>
    <w:lvl w:ilvl="2" w:tplc="544E8B98">
      <w:start w:val="1"/>
      <w:numFmt w:val="bullet"/>
      <w:lvlText w:val=""/>
      <w:lvlJc w:val="left"/>
      <w:pPr>
        <w:ind w:left="2160" w:hanging="360"/>
      </w:pPr>
      <w:rPr>
        <w:rFonts w:ascii="Wingdings" w:hAnsi="Wingdings" w:hint="default"/>
      </w:rPr>
    </w:lvl>
    <w:lvl w:ilvl="3" w:tplc="ED3EF58E">
      <w:start w:val="1"/>
      <w:numFmt w:val="bullet"/>
      <w:lvlText w:val=""/>
      <w:lvlJc w:val="left"/>
      <w:pPr>
        <w:ind w:left="2880" w:hanging="360"/>
      </w:pPr>
      <w:rPr>
        <w:rFonts w:ascii="Symbol" w:hAnsi="Symbol" w:hint="default"/>
      </w:rPr>
    </w:lvl>
    <w:lvl w:ilvl="4" w:tplc="0F2EB9FC">
      <w:start w:val="1"/>
      <w:numFmt w:val="bullet"/>
      <w:lvlText w:val="o"/>
      <w:lvlJc w:val="left"/>
      <w:pPr>
        <w:ind w:left="3600" w:hanging="360"/>
      </w:pPr>
      <w:rPr>
        <w:rFonts w:ascii="Courier New" w:hAnsi="Courier New" w:hint="default"/>
      </w:rPr>
    </w:lvl>
    <w:lvl w:ilvl="5" w:tplc="6EC88F96">
      <w:start w:val="1"/>
      <w:numFmt w:val="bullet"/>
      <w:lvlText w:val=""/>
      <w:lvlJc w:val="left"/>
      <w:pPr>
        <w:ind w:left="4320" w:hanging="360"/>
      </w:pPr>
      <w:rPr>
        <w:rFonts w:ascii="Wingdings" w:hAnsi="Wingdings" w:hint="default"/>
      </w:rPr>
    </w:lvl>
    <w:lvl w:ilvl="6" w:tplc="FAFAD626">
      <w:start w:val="1"/>
      <w:numFmt w:val="bullet"/>
      <w:lvlText w:val=""/>
      <w:lvlJc w:val="left"/>
      <w:pPr>
        <w:ind w:left="5040" w:hanging="360"/>
      </w:pPr>
      <w:rPr>
        <w:rFonts w:ascii="Symbol" w:hAnsi="Symbol" w:hint="default"/>
      </w:rPr>
    </w:lvl>
    <w:lvl w:ilvl="7" w:tplc="2D8A561C">
      <w:start w:val="1"/>
      <w:numFmt w:val="bullet"/>
      <w:lvlText w:val="o"/>
      <w:lvlJc w:val="left"/>
      <w:pPr>
        <w:ind w:left="5760" w:hanging="360"/>
      </w:pPr>
      <w:rPr>
        <w:rFonts w:ascii="Courier New" w:hAnsi="Courier New" w:hint="default"/>
      </w:rPr>
    </w:lvl>
    <w:lvl w:ilvl="8" w:tplc="F6BAF8AE">
      <w:start w:val="1"/>
      <w:numFmt w:val="bullet"/>
      <w:lvlText w:val=""/>
      <w:lvlJc w:val="left"/>
      <w:pPr>
        <w:ind w:left="6480" w:hanging="360"/>
      </w:pPr>
      <w:rPr>
        <w:rFonts w:ascii="Wingdings" w:hAnsi="Wingdings" w:hint="default"/>
      </w:rPr>
    </w:lvl>
  </w:abstractNum>
  <w:abstractNum w:abstractNumId="26" w15:restartNumberingAfterBreak="0">
    <w:nsid w:val="54F5FF9F"/>
    <w:multiLevelType w:val="multilevel"/>
    <w:tmpl w:val="522E1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AE1E40"/>
    <w:multiLevelType w:val="hybridMultilevel"/>
    <w:tmpl w:val="A3044CB2"/>
    <w:lvl w:ilvl="0" w:tplc="C85E352A">
      <w:start w:val="1"/>
      <w:numFmt w:val="decimal"/>
      <w:lvlText w:val="%1."/>
      <w:lvlJc w:val="left"/>
      <w:pPr>
        <w:ind w:left="1080" w:hanging="720"/>
      </w:pPr>
    </w:lvl>
    <w:lvl w:ilvl="1" w:tplc="EC9A522E">
      <w:start w:val="1"/>
      <w:numFmt w:val="lowerLetter"/>
      <w:lvlText w:val="%2."/>
      <w:lvlJc w:val="left"/>
      <w:pPr>
        <w:ind w:left="1440" w:hanging="360"/>
      </w:pPr>
    </w:lvl>
    <w:lvl w:ilvl="2" w:tplc="405EE0EE">
      <w:start w:val="1"/>
      <w:numFmt w:val="lowerRoman"/>
      <w:lvlText w:val="%3."/>
      <w:lvlJc w:val="right"/>
      <w:pPr>
        <w:ind w:left="2160" w:hanging="180"/>
      </w:pPr>
    </w:lvl>
    <w:lvl w:ilvl="3" w:tplc="A1E44FDC">
      <w:start w:val="1"/>
      <w:numFmt w:val="decimal"/>
      <w:lvlText w:val="%4."/>
      <w:lvlJc w:val="left"/>
      <w:pPr>
        <w:ind w:left="2880" w:hanging="360"/>
      </w:pPr>
    </w:lvl>
    <w:lvl w:ilvl="4" w:tplc="224643A2">
      <w:start w:val="1"/>
      <w:numFmt w:val="lowerLetter"/>
      <w:lvlText w:val="%5."/>
      <w:lvlJc w:val="left"/>
      <w:pPr>
        <w:ind w:left="3600" w:hanging="360"/>
      </w:pPr>
    </w:lvl>
    <w:lvl w:ilvl="5" w:tplc="34749CCC">
      <w:start w:val="1"/>
      <w:numFmt w:val="lowerRoman"/>
      <w:lvlText w:val="%6."/>
      <w:lvlJc w:val="right"/>
      <w:pPr>
        <w:ind w:left="4320" w:hanging="180"/>
      </w:pPr>
    </w:lvl>
    <w:lvl w:ilvl="6" w:tplc="E8267F18">
      <w:start w:val="1"/>
      <w:numFmt w:val="decimal"/>
      <w:lvlText w:val="%7."/>
      <w:lvlJc w:val="left"/>
      <w:pPr>
        <w:ind w:left="5040" w:hanging="360"/>
      </w:pPr>
    </w:lvl>
    <w:lvl w:ilvl="7" w:tplc="39A0FCF2">
      <w:start w:val="1"/>
      <w:numFmt w:val="lowerLetter"/>
      <w:lvlText w:val="%8."/>
      <w:lvlJc w:val="left"/>
      <w:pPr>
        <w:ind w:left="5760" w:hanging="360"/>
      </w:pPr>
    </w:lvl>
    <w:lvl w:ilvl="8" w:tplc="9C168D3A">
      <w:start w:val="1"/>
      <w:numFmt w:val="lowerRoman"/>
      <w:lvlText w:val="%9."/>
      <w:lvlJc w:val="right"/>
      <w:pPr>
        <w:ind w:left="6480" w:hanging="180"/>
      </w:pPr>
    </w:lvl>
  </w:abstractNum>
  <w:abstractNum w:abstractNumId="28" w15:restartNumberingAfterBreak="0">
    <w:nsid w:val="562F516F"/>
    <w:multiLevelType w:val="hybridMultilevel"/>
    <w:tmpl w:val="056AF6FE"/>
    <w:lvl w:ilvl="0" w:tplc="019E713C">
      <w:start w:val="1"/>
      <w:numFmt w:val="bullet"/>
      <w:lvlText w:val=""/>
      <w:lvlJc w:val="left"/>
      <w:pPr>
        <w:ind w:left="720" w:hanging="360"/>
      </w:pPr>
      <w:rPr>
        <w:rFonts w:ascii="Symbol" w:hAnsi="Symbol" w:hint="default"/>
      </w:rPr>
    </w:lvl>
    <w:lvl w:ilvl="1" w:tplc="9F062AF8">
      <w:start w:val="1"/>
      <w:numFmt w:val="bullet"/>
      <w:lvlText w:val="o"/>
      <w:lvlJc w:val="left"/>
      <w:pPr>
        <w:ind w:left="1440" w:hanging="360"/>
      </w:pPr>
      <w:rPr>
        <w:rFonts w:ascii="Courier New" w:hAnsi="Courier New" w:hint="default"/>
      </w:rPr>
    </w:lvl>
    <w:lvl w:ilvl="2" w:tplc="F1DACE70">
      <w:start w:val="1"/>
      <w:numFmt w:val="bullet"/>
      <w:lvlText w:val=""/>
      <w:lvlJc w:val="left"/>
      <w:pPr>
        <w:ind w:left="2160" w:hanging="360"/>
      </w:pPr>
      <w:rPr>
        <w:rFonts w:ascii="Wingdings" w:hAnsi="Wingdings" w:hint="default"/>
      </w:rPr>
    </w:lvl>
    <w:lvl w:ilvl="3" w:tplc="30FCBB62">
      <w:start w:val="1"/>
      <w:numFmt w:val="bullet"/>
      <w:lvlText w:val=""/>
      <w:lvlJc w:val="left"/>
      <w:pPr>
        <w:ind w:left="2880" w:hanging="360"/>
      </w:pPr>
      <w:rPr>
        <w:rFonts w:ascii="Symbol" w:hAnsi="Symbol" w:hint="default"/>
      </w:rPr>
    </w:lvl>
    <w:lvl w:ilvl="4" w:tplc="2584ACF4">
      <w:start w:val="1"/>
      <w:numFmt w:val="bullet"/>
      <w:lvlText w:val="o"/>
      <w:lvlJc w:val="left"/>
      <w:pPr>
        <w:ind w:left="3600" w:hanging="360"/>
      </w:pPr>
      <w:rPr>
        <w:rFonts w:ascii="Courier New" w:hAnsi="Courier New" w:hint="default"/>
      </w:rPr>
    </w:lvl>
    <w:lvl w:ilvl="5" w:tplc="915CF234">
      <w:start w:val="1"/>
      <w:numFmt w:val="bullet"/>
      <w:lvlText w:val=""/>
      <w:lvlJc w:val="left"/>
      <w:pPr>
        <w:ind w:left="4320" w:hanging="360"/>
      </w:pPr>
      <w:rPr>
        <w:rFonts w:ascii="Wingdings" w:hAnsi="Wingdings" w:hint="default"/>
      </w:rPr>
    </w:lvl>
    <w:lvl w:ilvl="6" w:tplc="66146ED8">
      <w:start w:val="1"/>
      <w:numFmt w:val="bullet"/>
      <w:lvlText w:val=""/>
      <w:lvlJc w:val="left"/>
      <w:pPr>
        <w:ind w:left="5040" w:hanging="360"/>
      </w:pPr>
      <w:rPr>
        <w:rFonts w:ascii="Symbol" w:hAnsi="Symbol" w:hint="default"/>
      </w:rPr>
    </w:lvl>
    <w:lvl w:ilvl="7" w:tplc="B6FA13CC">
      <w:start w:val="1"/>
      <w:numFmt w:val="bullet"/>
      <w:lvlText w:val="o"/>
      <w:lvlJc w:val="left"/>
      <w:pPr>
        <w:ind w:left="5760" w:hanging="360"/>
      </w:pPr>
      <w:rPr>
        <w:rFonts w:ascii="Courier New" w:hAnsi="Courier New" w:hint="default"/>
      </w:rPr>
    </w:lvl>
    <w:lvl w:ilvl="8" w:tplc="D8B681C0">
      <w:start w:val="1"/>
      <w:numFmt w:val="bullet"/>
      <w:lvlText w:val=""/>
      <w:lvlJc w:val="left"/>
      <w:pPr>
        <w:ind w:left="6480" w:hanging="360"/>
      </w:pPr>
      <w:rPr>
        <w:rFonts w:ascii="Wingdings" w:hAnsi="Wingdings" w:hint="default"/>
      </w:rPr>
    </w:lvl>
  </w:abstractNum>
  <w:abstractNum w:abstractNumId="29" w15:restartNumberingAfterBreak="0">
    <w:nsid w:val="583A3E45"/>
    <w:multiLevelType w:val="hybridMultilevel"/>
    <w:tmpl w:val="060E9622"/>
    <w:lvl w:ilvl="0" w:tplc="145A14E6">
      <w:start w:val="1"/>
      <w:numFmt w:val="bullet"/>
      <w:lvlText w:val="-"/>
      <w:lvlJc w:val="left"/>
      <w:pPr>
        <w:ind w:left="720" w:hanging="360"/>
      </w:pPr>
      <w:rPr>
        <w:rFonts w:ascii="Aptos" w:hAnsi="Aptos" w:hint="default"/>
      </w:rPr>
    </w:lvl>
    <w:lvl w:ilvl="1" w:tplc="303A961A">
      <w:start w:val="1"/>
      <w:numFmt w:val="bullet"/>
      <w:lvlText w:val="o"/>
      <w:lvlJc w:val="left"/>
      <w:pPr>
        <w:ind w:left="1440" w:hanging="360"/>
      </w:pPr>
      <w:rPr>
        <w:rFonts w:ascii="Courier New" w:hAnsi="Courier New" w:hint="default"/>
      </w:rPr>
    </w:lvl>
    <w:lvl w:ilvl="2" w:tplc="CF4C23E4">
      <w:start w:val="1"/>
      <w:numFmt w:val="bullet"/>
      <w:lvlText w:val=""/>
      <w:lvlJc w:val="left"/>
      <w:pPr>
        <w:ind w:left="2160" w:hanging="360"/>
      </w:pPr>
      <w:rPr>
        <w:rFonts w:ascii="Wingdings" w:hAnsi="Wingdings" w:hint="default"/>
      </w:rPr>
    </w:lvl>
    <w:lvl w:ilvl="3" w:tplc="426C9136">
      <w:start w:val="1"/>
      <w:numFmt w:val="bullet"/>
      <w:lvlText w:val=""/>
      <w:lvlJc w:val="left"/>
      <w:pPr>
        <w:ind w:left="2880" w:hanging="360"/>
      </w:pPr>
      <w:rPr>
        <w:rFonts w:ascii="Symbol" w:hAnsi="Symbol" w:hint="default"/>
      </w:rPr>
    </w:lvl>
    <w:lvl w:ilvl="4" w:tplc="5EA08EB6">
      <w:start w:val="1"/>
      <w:numFmt w:val="bullet"/>
      <w:lvlText w:val="o"/>
      <w:lvlJc w:val="left"/>
      <w:pPr>
        <w:ind w:left="3600" w:hanging="360"/>
      </w:pPr>
      <w:rPr>
        <w:rFonts w:ascii="Courier New" w:hAnsi="Courier New" w:hint="default"/>
      </w:rPr>
    </w:lvl>
    <w:lvl w:ilvl="5" w:tplc="3D7E6C76">
      <w:start w:val="1"/>
      <w:numFmt w:val="bullet"/>
      <w:lvlText w:val=""/>
      <w:lvlJc w:val="left"/>
      <w:pPr>
        <w:ind w:left="4320" w:hanging="360"/>
      </w:pPr>
      <w:rPr>
        <w:rFonts w:ascii="Wingdings" w:hAnsi="Wingdings" w:hint="default"/>
      </w:rPr>
    </w:lvl>
    <w:lvl w:ilvl="6" w:tplc="88186416">
      <w:start w:val="1"/>
      <w:numFmt w:val="bullet"/>
      <w:lvlText w:val=""/>
      <w:lvlJc w:val="left"/>
      <w:pPr>
        <w:ind w:left="5040" w:hanging="360"/>
      </w:pPr>
      <w:rPr>
        <w:rFonts w:ascii="Symbol" w:hAnsi="Symbol" w:hint="default"/>
      </w:rPr>
    </w:lvl>
    <w:lvl w:ilvl="7" w:tplc="32A41934">
      <w:start w:val="1"/>
      <w:numFmt w:val="bullet"/>
      <w:lvlText w:val="o"/>
      <w:lvlJc w:val="left"/>
      <w:pPr>
        <w:ind w:left="5760" w:hanging="360"/>
      </w:pPr>
      <w:rPr>
        <w:rFonts w:ascii="Courier New" w:hAnsi="Courier New" w:hint="default"/>
      </w:rPr>
    </w:lvl>
    <w:lvl w:ilvl="8" w:tplc="1FD46928">
      <w:start w:val="1"/>
      <w:numFmt w:val="bullet"/>
      <w:lvlText w:val=""/>
      <w:lvlJc w:val="left"/>
      <w:pPr>
        <w:ind w:left="6480" w:hanging="360"/>
      </w:pPr>
      <w:rPr>
        <w:rFonts w:ascii="Wingdings" w:hAnsi="Wingdings" w:hint="default"/>
      </w:rPr>
    </w:lvl>
  </w:abstractNum>
  <w:abstractNum w:abstractNumId="30" w15:restartNumberingAfterBreak="0">
    <w:nsid w:val="63770903"/>
    <w:multiLevelType w:val="hybridMultilevel"/>
    <w:tmpl w:val="127EB3BE"/>
    <w:lvl w:ilvl="0" w:tplc="1E3ADA30">
      <w:start w:val="1"/>
      <w:numFmt w:val="bullet"/>
      <w:lvlText w:val=""/>
      <w:lvlJc w:val="left"/>
      <w:pPr>
        <w:ind w:left="720" w:hanging="360"/>
      </w:pPr>
      <w:rPr>
        <w:rFonts w:ascii="Symbol" w:hAnsi="Symbol" w:hint="default"/>
      </w:rPr>
    </w:lvl>
    <w:lvl w:ilvl="1" w:tplc="FDD471EE">
      <w:start w:val="1"/>
      <w:numFmt w:val="bullet"/>
      <w:lvlText w:val="o"/>
      <w:lvlJc w:val="left"/>
      <w:pPr>
        <w:ind w:left="1440" w:hanging="360"/>
      </w:pPr>
      <w:rPr>
        <w:rFonts w:ascii="Courier New" w:hAnsi="Courier New" w:hint="default"/>
      </w:rPr>
    </w:lvl>
    <w:lvl w:ilvl="2" w:tplc="0FC4215E">
      <w:start w:val="1"/>
      <w:numFmt w:val="bullet"/>
      <w:lvlText w:val=""/>
      <w:lvlJc w:val="left"/>
      <w:pPr>
        <w:ind w:left="2160" w:hanging="360"/>
      </w:pPr>
      <w:rPr>
        <w:rFonts w:ascii="Wingdings" w:hAnsi="Wingdings" w:hint="default"/>
      </w:rPr>
    </w:lvl>
    <w:lvl w:ilvl="3" w:tplc="8DA44C0C">
      <w:start w:val="1"/>
      <w:numFmt w:val="bullet"/>
      <w:lvlText w:val=""/>
      <w:lvlJc w:val="left"/>
      <w:pPr>
        <w:ind w:left="2880" w:hanging="360"/>
      </w:pPr>
      <w:rPr>
        <w:rFonts w:ascii="Symbol" w:hAnsi="Symbol" w:hint="default"/>
      </w:rPr>
    </w:lvl>
    <w:lvl w:ilvl="4" w:tplc="CC7084C4">
      <w:start w:val="1"/>
      <w:numFmt w:val="bullet"/>
      <w:lvlText w:val="o"/>
      <w:lvlJc w:val="left"/>
      <w:pPr>
        <w:ind w:left="3600" w:hanging="360"/>
      </w:pPr>
      <w:rPr>
        <w:rFonts w:ascii="Courier New" w:hAnsi="Courier New" w:hint="default"/>
      </w:rPr>
    </w:lvl>
    <w:lvl w:ilvl="5" w:tplc="FC18BCF2">
      <w:start w:val="1"/>
      <w:numFmt w:val="bullet"/>
      <w:lvlText w:val=""/>
      <w:lvlJc w:val="left"/>
      <w:pPr>
        <w:ind w:left="4320" w:hanging="360"/>
      </w:pPr>
      <w:rPr>
        <w:rFonts w:ascii="Wingdings" w:hAnsi="Wingdings" w:hint="default"/>
      </w:rPr>
    </w:lvl>
    <w:lvl w:ilvl="6" w:tplc="07B4F4B6">
      <w:start w:val="1"/>
      <w:numFmt w:val="bullet"/>
      <w:lvlText w:val=""/>
      <w:lvlJc w:val="left"/>
      <w:pPr>
        <w:ind w:left="5040" w:hanging="360"/>
      </w:pPr>
      <w:rPr>
        <w:rFonts w:ascii="Symbol" w:hAnsi="Symbol" w:hint="default"/>
      </w:rPr>
    </w:lvl>
    <w:lvl w:ilvl="7" w:tplc="8A6E1F5A">
      <w:start w:val="1"/>
      <w:numFmt w:val="bullet"/>
      <w:lvlText w:val="o"/>
      <w:lvlJc w:val="left"/>
      <w:pPr>
        <w:ind w:left="5760" w:hanging="360"/>
      </w:pPr>
      <w:rPr>
        <w:rFonts w:ascii="Courier New" w:hAnsi="Courier New" w:hint="default"/>
      </w:rPr>
    </w:lvl>
    <w:lvl w:ilvl="8" w:tplc="43849DC0">
      <w:start w:val="1"/>
      <w:numFmt w:val="bullet"/>
      <w:lvlText w:val=""/>
      <w:lvlJc w:val="left"/>
      <w:pPr>
        <w:ind w:left="6480" w:hanging="360"/>
      </w:pPr>
      <w:rPr>
        <w:rFonts w:ascii="Wingdings" w:hAnsi="Wingdings" w:hint="default"/>
      </w:rPr>
    </w:lvl>
  </w:abstractNum>
  <w:abstractNum w:abstractNumId="31" w15:restartNumberingAfterBreak="0">
    <w:nsid w:val="65D4F314"/>
    <w:multiLevelType w:val="multilevel"/>
    <w:tmpl w:val="0D9A0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7D4C78C"/>
    <w:multiLevelType w:val="hybridMultilevel"/>
    <w:tmpl w:val="183AF322"/>
    <w:lvl w:ilvl="0" w:tplc="EF2C2356">
      <w:start w:val="5"/>
      <w:numFmt w:val="decimal"/>
      <w:lvlText w:val="%1."/>
      <w:lvlJc w:val="left"/>
      <w:pPr>
        <w:ind w:left="1080" w:hanging="720"/>
      </w:pPr>
    </w:lvl>
    <w:lvl w:ilvl="1" w:tplc="11C629AE">
      <w:start w:val="1"/>
      <w:numFmt w:val="lowerLetter"/>
      <w:lvlText w:val="%2."/>
      <w:lvlJc w:val="left"/>
      <w:pPr>
        <w:ind w:left="1440" w:hanging="360"/>
      </w:pPr>
    </w:lvl>
    <w:lvl w:ilvl="2" w:tplc="45869CA6">
      <w:start w:val="1"/>
      <w:numFmt w:val="lowerRoman"/>
      <w:lvlText w:val="%3."/>
      <w:lvlJc w:val="right"/>
      <w:pPr>
        <w:ind w:left="2160" w:hanging="180"/>
      </w:pPr>
    </w:lvl>
    <w:lvl w:ilvl="3" w:tplc="334A216A">
      <w:start w:val="1"/>
      <w:numFmt w:val="decimal"/>
      <w:lvlText w:val="%4."/>
      <w:lvlJc w:val="left"/>
      <w:pPr>
        <w:ind w:left="2880" w:hanging="360"/>
      </w:pPr>
    </w:lvl>
    <w:lvl w:ilvl="4" w:tplc="5F9C7868">
      <w:start w:val="1"/>
      <w:numFmt w:val="lowerLetter"/>
      <w:lvlText w:val="%5."/>
      <w:lvlJc w:val="left"/>
      <w:pPr>
        <w:ind w:left="3600" w:hanging="360"/>
      </w:pPr>
    </w:lvl>
    <w:lvl w:ilvl="5" w:tplc="9266D2D0">
      <w:start w:val="1"/>
      <w:numFmt w:val="lowerRoman"/>
      <w:lvlText w:val="%6."/>
      <w:lvlJc w:val="right"/>
      <w:pPr>
        <w:ind w:left="4320" w:hanging="180"/>
      </w:pPr>
    </w:lvl>
    <w:lvl w:ilvl="6" w:tplc="EF2630BA">
      <w:start w:val="1"/>
      <w:numFmt w:val="decimal"/>
      <w:lvlText w:val="%7."/>
      <w:lvlJc w:val="left"/>
      <w:pPr>
        <w:ind w:left="5040" w:hanging="360"/>
      </w:pPr>
    </w:lvl>
    <w:lvl w:ilvl="7" w:tplc="D75C60B4">
      <w:start w:val="1"/>
      <w:numFmt w:val="lowerLetter"/>
      <w:lvlText w:val="%8."/>
      <w:lvlJc w:val="left"/>
      <w:pPr>
        <w:ind w:left="5760" w:hanging="360"/>
      </w:pPr>
    </w:lvl>
    <w:lvl w:ilvl="8" w:tplc="5E48676C">
      <w:start w:val="1"/>
      <w:numFmt w:val="lowerRoman"/>
      <w:lvlText w:val="%9."/>
      <w:lvlJc w:val="right"/>
      <w:pPr>
        <w:ind w:left="6480" w:hanging="180"/>
      </w:pPr>
    </w:lvl>
  </w:abstractNum>
  <w:abstractNum w:abstractNumId="33" w15:restartNumberingAfterBreak="0">
    <w:nsid w:val="6F01FA7E"/>
    <w:multiLevelType w:val="hybridMultilevel"/>
    <w:tmpl w:val="176E4610"/>
    <w:lvl w:ilvl="0" w:tplc="64268BCC">
      <w:start w:val="16"/>
      <w:numFmt w:val="decimal"/>
      <w:lvlText w:val="%1."/>
      <w:lvlJc w:val="left"/>
      <w:pPr>
        <w:ind w:left="1080" w:hanging="720"/>
      </w:pPr>
    </w:lvl>
    <w:lvl w:ilvl="1" w:tplc="A078A918">
      <w:start w:val="1"/>
      <w:numFmt w:val="lowerLetter"/>
      <w:lvlText w:val="%2."/>
      <w:lvlJc w:val="left"/>
      <w:pPr>
        <w:ind w:left="1440" w:hanging="360"/>
      </w:pPr>
    </w:lvl>
    <w:lvl w:ilvl="2" w:tplc="8746206A">
      <w:start w:val="1"/>
      <w:numFmt w:val="lowerRoman"/>
      <w:lvlText w:val="%3."/>
      <w:lvlJc w:val="right"/>
      <w:pPr>
        <w:ind w:left="2160" w:hanging="180"/>
      </w:pPr>
    </w:lvl>
    <w:lvl w:ilvl="3" w:tplc="C840D670">
      <w:start w:val="1"/>
      <w:numFmt w:val="decimal"/>
      <w:lvlText w:val="%4."/>
      <w:lvlJc w:val="left"/>
      <w:pPr>
        <w:ind w:left="2880" w:hanging="360"/>
      </w:pPr>
    </w:lvl>
    <w:lvl w:ilvl="4" w:tplc="3864BB6A">
      <w:start w:val="1"/>
      <w:numFmt w:val="lowerLetter"/>
      <w:lvlText w:val="%5."/>
      <w:lvlJc w:val="left"/>
      <w:pPr>
        <w:ind w:left="3600" w:hanging="360"/>
      </w:pPr>
    </w:lvl>
    <w:lvl w:ilvl="5" w:tplc="4DBA3878">
      <w:start w:val="1"/>
      <w:numFmt w:val="lowerRoman"/>
      <w:lvlText w:val="%6."/>
      <w:lvlJc w:val="right"/>
      <w:pPr>
        <w:ind w:left="4320" w:hanging="180"/>
      </w:pPr>
    </w:lvl>
    <w:lvl w:ilvl="6" w:tplc="D59C4AA2">
      <w:start w:val="1"/>
      <w:numFmt w:val="decimal"/>
      <w:lvlText w:val="%7."/>
      <w:lvlJc w:val="left"/>
      <w:pPr>
        <w:ind w:left="5040" w:hanging="360"/>
      </w:pPr>
    </w:lvl>
    <w:lvl w:ilvl="7" w:tplc="B570FA30">
      <w:start w:val="1"/>
      <w:numFmt w:val="lowerLetter"/>
      <w:lvlText w:val="%8."/>
      <w:lvlJc w:val="left"/>
      <w:pPr>
        <w:ind w:left="5760" w:hanging="360"/>
      </w:pPr>
    </w:lvl>
    <w:lvl w:ilvl="8" w:tplc="88A0EFF6">
      <w:start w:val="1"/>
      <w:numFmt w:val="lowerRoman"/>
      <w:lvlText w:val="%9."/>
      <w:lvlJc w:val="right"/>
      <w:pPr>
        <w:ind w:left="6480" w:hanging="180"/>
      </w:pPr>
    </w:lvl>
  </w:abstractNum>
  <w:abstractNum w:abstractNumId="34" w15:restartNumberingAfterBreak="0">
    <w:nsid w:val="6F5B054D"/>
    <w:multiLevelType w:val="hybridMultilevel"/>
    <w:tmpl w:val="1ACA3EFC"/>
    <w:lvl w:ilvl="0" w:tplc="B5B6A1FA">
      <w:start w:val="1"/>
      <w:numFmt w:val="bullet"/>
      <w:lvlText w:val="-"/>
      <w:lvlJc w:val="left"/>
      <w:pPr>
        <w:ind w:left="720" w:hanging="360"/>
      </w:pPr>
      <w:rPr>
        <w:rFonts w:ascii="Aptos" w:hAnsi="Aptos" w:hint="default"/>
      </w:rPr>
    </w:lvl>
    <w:lvl w:ilvl="1" w:tplc="A3684D2C">
      <w:start w:val="1"/>
      <w:numFmt w:val="bullet"/>
      <w:lvlText w:val="o"/>
      <w:lvlJc w:val="left"/>
      <w:pPr>
        <w:ind w:left="1440" w:hanging="360"/>
      </w:pPr>
      <w:rPr>
        <w:rFonts w:ascii="Courier New" w:hAnsi="Courier New" w:hint="default"/>
      </w:rPr>
    </w:lvl>
    <w:lvl w:ilvl="2" w:tplc="F44EDF4A">
      <w:start w:val="1"/>
      <w:numFmt w:val="bullet"/>
      <w:lvlText w:val=""/>
      <w:lvlJc w:val="left"/>
      <w:pPr>
        <w:ind w:left="2160" w:hanging="360"/>
      </w:pPr>
      <w:rPr>
        <w:rFonts w:ascii="Wingdings" w:hAnsi="Wingdings" w:hint="default"/>
      </w:rPr>
    </w:lvl>
    <w:lvl w:ilvl="3" w:tplc="B1440B3A">
      <w:start w:val="1"/>
      <w:numFmt w:val="bullet"/>
      <w:lvlText w:val=""/>
      <w:lvlJc w:val="left"/>
      <w:pPr>
        <w:ind w:left="2880" w:hanging="360"/>
      </w:pPr>
      <w:rPr>
        <w:rFonts w:ascii="Symbol" w:hAnsi="Symbol" w:hint="default"/>
      </w:rPr>
    </w:lvl>
    <w:lvl w:ilvl="4" w:tplc="23C2532E">
      <w:start w:val="1"/>
      <w:numFmt w:val="bullet"/>
      <w:lvlText w:val="o"/>
      <w:lvlJc w:val="left"/>
      <w:pPr>
        <w:ind w:left="3600" w:hanging="360"/>
      </w:pPr>
      <w:rPr>
        <w:rFonts w:ascii="Courier New" w:hAnsi="Courier New" w:hint="default"/>
      </w:rPr>
    </w:lvl>
    <w:lvl w:ilvl="5" w:tplc="95208B44">
      <w:start w:val="1"/>
      <w:numFmt w:val="bullet"/>
      <w:lvlText w:val=""/>
      <w:lvlJc w:val="left"/>
      <w:pPr>
        <w:ind w:left="4320" w:hanging="360"/>
      </w:pPr>
      <w:rPr>
        <w:rFonts w:ascii="Wingdings" w:hAnsi="Wingdings" w:hint="default"/>
      </w:rPr>
    </w:lvl>
    <w:lvl w:ilvl="6" w:tplc="4F1097EA">
      <w:start w:val="1"/>
      <w:numFmt w:val="bullet"/>
      <w:lvlText w:val=""/>
      <w:lvlJc w:val="left"/>
      <w:pPr>
        <w:ind w:left="5040" w:hanging="360"/>
      </w:pPr>
      <w:rPr>
        <w:rFonts w:ascii="Symbol" w:hAnsi="Symbol" w:hint="default"/>
      </w:rPr>
    </w:lvl>
    <w:lvl w:ilvl="7" w:tplc="96001842">
      <w:start w:val="1"/>
      <w:numFmt w:val="bullet"/>
      <w:lvlText w:val="o"/>
      <w:lvlJc w:val="left"/>
      <w:pPr>
        <w:ind w:left="5760" w:hanging="360"/>
      </w:pPr>
      <w:rPr>
        <w:rFonts w:ascii="Courier New" w:hAnsi="Courier New" w:hint="default"/>
      </w:rPr>
    </w:lvl>
    <w:lvl w:ilvl="8" w:tplc="FDD2ED38">
      <w:start w:val="1"/>
      <w:numFmt w:val="bullet"/>
      <w:lvlText w:val=""/>
      <w:lvlJc w:val="left"/>
      <w:pPr>
        <w:ind w:left="6480" w:hanging="360"/>
      </w:pPr>
      <w:rPr>
        <w:rFonts w:ascii="Wingdings" w:hAnsi="Wingdings" w:hint="default"/>
      </w:rPr>
    </w:lvl>
  </w:abstractNum>
  <w:abstractNum w:abstractNumId="35" w15:restartNumberingAfterBreak="0">
    <w:nsid w:val="74859534"/>
    <w:multiLevelType w:val="multilevel"/>
    <w:tmpl w:val="2A5E9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762842">
    <w:abstractNumId w:val="22"/>
  </w:num>
  <w:num w:numId="2" w16cid:durableId="580216302">
    <w:abstractNumId w:val="25"/>
  </w:num>
  <w:num w:numId="3" w16cid:durableId="990989686">
    <w:abstractNumId w:val="17"/>
  </w:num>
  <w:num w:numId="4" w16cid:durableId="1396664279">
    <w:abstractNumId w:val="11"/>
  </w:num>
  <w:num w:numId="5" w16cid:durableId="386029460">
    <w:abstractNumId w:val="15"/>
  </w:num>
  <w:num w:numId="6" w16cid:durableId="1391684941">
    <w:abstractNumId w:val="12"/>
  </w:num>
  <w:num w:numId="7" w16cid:durableId="1792625081">
    <w:abstractNumId w:val="0"/>
  </w:num>
  <w:num w:numId="8" w16cid:durableId="1270552059">
    <w:abstractNumId w:val="1"/>
  </w:num>
  <w:num w:numId="9" w16cid:durableId="53549921">
    <w:abstractNumId w:val="5"/>
  </w:num>
  <w:num w:numId="10" w16cid:durableId="1196576787">
    <w:abstractNumId w:val="29"/>
  </w:num>
  <w:num w:numId="11" w16cid:durableId="534779886">
    <w:abstractNumId w:val="18"/>
  </w:num>
  <w:num w:numId="12" w16cid:durableId="1366834203">
    <w:abstractNumId w:val="33"/>
  </w:num>
  <w:num w:numId="13" w16cid:durableId="1659915409">
    <w:abstractNumId w:val="20"/>
  </w:num>
  <w:num w:numId="14" w16cid:durableId="1726759223">
    <w:abstractNumId w:val="13"/>
  </w:num>
  <w:num w:numId="15" w16cid:durableId="1862433425">
    <w:abstractNumId w:val="6"/>
  </w:num>
  <w:num w:numId="16" w16cid:durableId="203519274">
    <w:abstractNumId w:val="8"/>
  </w:num>
  <w:num w:numId="17" w16cid:durableId="91438914">
    <w:abstractNumId w:val="19"/>
  </w:num>
  <w:num w:numId="18" w16cid:durableId="499928269">
    <w:abstractNumId w:val="7"/>
  </w:num>
  <w:num w:numId="19" w16cid:durableId="1984113888">
    <w:abstractNumId w:val="14"/>
  </w:num>
  <w:num w:numId="20" w16cid:durableId="554120502">
    <w:abstractNumId w:val="3"/>
  </w:num>
  <w:num w:numId="21" w16cid:durableId="1433473581">
    <w:abstractNumId w:val="9"/>
  </w:num>
  <w:num w:numId="22" w16cid:durableId="429200371">
    <w:abstractNumId w:val="34"/>
  </w:num>
  <w:num w:numId="23" w16cid:durableId="15817965">
    <w:abstractNumId w:val="10"/>
  </w:num>
  <w:num w:numId="24" w16cid:durableId="1429155230">
    <w:abstractNumId w:val="24"/>
  </w:num>
  <w:num w:numId="25" w16cid:durableId="1127747155">
    <w:abstractNumId w:val="26"/>
  </w:num>
  <w:num w:numId="26" w16cid:durableId="37246368">
    <w:abstractNumId w:val="31"/>
  </w:num>
  <w:num w:numId="27" w16cid:durableId="687870972">
    <w:abstractNumId w:val="2"/>
  </w:num>
  <w:num w:numId="28" w16cid:durableId="1870990109">
    <w:abstractNumId w:val="35"/>
  </w:num>
  <w:num w:numId="29" w16cid:durableId="2143184942">
    <w:abstractNumId w:val="23"/>
  </w:num>
  <w:num w:numId="30" w16cid:durableId="1404257053">
    <w:abstractNumId w:val="30"/>
  </w:num>
  <w:num w:numId="31" w16cid:durableId="779229076">
    <w:abstractNumId w:val="16"/>
  </w:num>
  <w:num w:numId="32" w16cid:durableId="584269562">
    <w:abstractNumId w:val="4"/>
  </w:num>
  <w:num w:numId="33" w16cid:durableId="1911959205">
    <w:abstractNumId w:val="21"/>
  </w:num>
  <w:num w:numId="34" w16cid:durableId="1669208498">
    <w:abstractNumId w:val="32"/>
  </w:num>
  <w:num w:numId="35" w16cid:durableId="1903371277">
    <w:abstractNumId w:val="28"/>
  </w:num>
  <w:num w:numId="36" w16cid:durableId="7838123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DD"/>
    <w:rsid w:val="00015876"/>
    <w:rsid w:val="00017D10"/>
    <w:rsid w:val="00050735"/>
    <w:rsid w:val="000931C4"/>
    <w:rsid w:val="000959DD"/>
    <w:rsid w:val="001105C7"/>
    <w:rsid w:val="00137B15"/>
    <w:rsid w:val="00210B0D"/>
    <w:rsid w:val="00226F2F"/>
    <w:rsid w:val="00242EE6"/>
    <w:rsid w:val="00294428"/>
    <w:rsid w:val="002A1A35"/>
    <w:rsid w:val="002E4252"/>
    <w:rsid w:val="003324AE"/>
    <w:rsid w:val="00350D41"/>
    <w:rsid w:val="003E546D"/>
    <w:rsid w:val="00417521"/>
    <w:rsid w:val="00456A90"/>
    <w:rsid w:val="00463E85"/>
    <w:rsid w:val="0049295F"/>
    <w:rsid w:val="00514C5A"/>
    <w:rsid w:val="0055602A"/>
    <w:rsid w:val="00581F08"/>
    <w:rsid w:val="005836CC"/>
    <w:rsid w:val="0059359A"/>
    <w:rsid w:val="005B45F7"/>
    <w:rsid w:val="005B694A"/>
    <w:rsid w:val="005F1004"/>
    <w:rsid w:val="006065A0"/>
    <w:rsid w:val="0064229F"/>
    <w:rsid w:val="00731BCF"/>
    <w:rsid w:val="007517CF"/>
    <w:rsid w:val="007E0D89"/>
    <w:rsid w:val="007F28C9"/>
    <w:rsid w:val="008248E3"/>
    <w:rsid w:val="00840DE4"/>
    <w:rsid w:val="00891732"/>
    <w:rsid w:val="008C1334"/>
    <w:rsid w:val="008C1F18"/>
    <w:rsid w:val="00953AEA"/>
    <w:rsid w:val="009753C1"/>
    <w:rsid w:val="009A0327"/>
    <w:rsid w:val="00A52A10"/>
    <w:rsid w:val="00A74431"/>
    <w:rsid w:val="00AD483F"/>
    <w:rsid w:val="00AF551F"/>
    <w:rsid w:val="00B37828"/>
    <w:rsid w:val="00B56D62"/>
    <w:rsid w:val="00B76F65"/>
    <w:rsid w:val="00B7764C"/>
    <w:rsid w:val="00B80A3B"/>
    <w:rsid w:val="00B9693B"/>
    <w:rsid w:val="00BC390E"/>
    <w:rsid w:val="00C62830"/>
    <w:rsid w:val="00CD3896"/>
    <w:rsid w:val="00CE1FA2"/>
    <w:rsid w:val="00CE48A7"/>
    <w:rsid w:val="00D5599E"/>
    <w:rsid w:val="00DA631D"/>
    <w:rsid w:val="00DB0476"/>
    <w:rsid w:val="00DC3A71"/>
    <w:rsid w:val="00E86980"/>
    <w:rsid w:val="00E97926"/>
    <w:rsid w:val="00EC493E"/>
    <w:rsid w:val="00EF63ED"/>
    <w:rsid w:val="00F56603"/>
    <w:rsid w:val="01547632"/>
    <w:rsid w:val="01F387B5"/>
    <w:rsid w:val="0251B4DF"/>
    <w:rsid w:val="029D9E0A"/>
    <w:rsid w:val="034B4B0F"/>
    <w:rsid w:val="0474F1C1"/>
    <w:rsid w:val="04B21FAF"/>
    <w:rsid w:val="05BE308F"/>
    <w:rsid w:val="0638FE20"/>
    <w:rsid w:val="064A29AA"/>
    <w:rsid w:val="07C8D34B"/>
    <w:rsid w:val="08860E70"/>
    <w:rsid w:val="0ADFEE84"/>
    <w:rsid w:val="0F3F69BF"/>
    <w:rsid w:val="14567849"/>
    <w:rsid w:val="16ED24D8"/>
    <w:rsid w:val="1739A81E"/>
    <w:rsid w:val="178F6B33"/>
    <w:rsid w:val="17B6756C"/>
    <w:rsid w:val="18D36604"/>
    <w:rsid w:val="1A458098"/>
    <w:rsid w:val="1A70FD15"/>
    <w:rsid w:val="1B433F34"/>
    <w:rsid w:val="1B7EC12E"/>
    <w:rsid w:val="1BEF87D2"/>
    <w:rsid w:val="1C080908"/>
    <w:rsid w:val="1D8C6237"/>
    <w:rsid w:val="1F58E2E5"/>
    <w:rsid w:val="2007D696"/>
    <w:rsid w:val="2439A64B"/>
    <w:rsid w:val="26211A3B"/>
    <w:rsid w:val="27C8F602"/>
    <w:rsid w:val="28591F5F"/>
    <w:rsid w:val="29596E93"/>
    <w:rsid w:val="29CE1F28"/>
    <w:rsid w:val="2A613570"/>
    <w:rsid w:val="2D156AA3"/>
    <w:rsid w:val="2D7E2358"/>
    <w:rsid w:val="2ECA16CC"/>
    <w:rsid w:val="2FD81F59"/>
    <w:rsid w:val="2FE244D5"/>
    <w:rsid w:val="30124EBD"/>
    <w:rsid w:val="31BE03B4"/>
    <w:rsid w:val="3216069B"/>
    <w:rsid w:val="32CF53BF"/>
    <w:rsid w:val="32E38917"/>
    <w:rsid w:val="364C9391"/>
    <w:rsid w:val="388C251B"/>
    <w:rsid w:val="38D75875"/>
    <w:rsid w:val="3B8E7A31"/>
    <w:rsid w:val="3BEB0660"/>
    <w:rsid w:val="3F4970F6"/>
    <w:rsid w:val="3F4FC351"/>
    <w:rsid w:val="41290EC2"/>
    <w:rsid w:val="431A5B60"/>
    <w:rsid w:val="432EF317"/>
    <w:rsid w:val="434D16F3"/>
    <w:rsid w:val="435FAC16"/>
    <w:rsid w:val="43CC6C8C"/>
    <w:rsid w:val="44D4187C"/>
    <w:rsid w:val="45F96FFD"/>
    <w:rsid w:val="470B2356"/>
    <w:rsid w:val="473F43C5"/>
    <w:rsid w:val="483C7E65"/>
    <w:rsid w:val="488A7FC1"/>
    <w:rsid w:val="4938E8D4"/>
    <w:rsid w:val="494091DA"/>
    <w:rsid w:val="498D3B26"/>
    <w:rsid w:val="4AA41B73"/>
    <w:rsid w:val="4AAF28F5"/>
    <w:rsid w:val="4B6CDB23"/>
    <w:rsid w:val="4C95FB15"/>
    <w:rsid w:val="4D33F87A"/>
    <w:rsid w:val="4FFF0AEB"/>
    <w:rsid w:val="5018C4EF"/>
    <w:rsid w:val="5114D1E4"/>
    <w:rsid w:val="53539D0A"/>
    <w:rsid w:val="53738840"/>
    <w:rsid w:val="53EE147B"/>
    <w:rsid w:val="547139A6"/>
    <w:rsid w:val="54DB61AA"/>
    <w:rsid w:val="555BC586"/>
    <w:rsid w:val="56244F90"/>
    <w:rsid w:val="56CE510B"/>
    <w:rsid w:val="580303B0"/>
    <w:rsid w:val="583E4334"/>
    <w:rsid w:val="59678E70"/>
    <w:rsid w:val="5B18BF6D"/>
    <w:rsid w:val="5B8BD3CD"/>
    <w:rsid w:val="5E22F49B"/>
    <w:rsid w:val="5E5044EE"/>
    <w:rsid w:val="639C66EB"/>
    <w:rsid w:val="64D386D7"/>
    <w:rsid w:val="651C2D32"/>
    <w:rsid w:val="6671BB15"/>
    <w:rsid w:val="67CA1D56"/>
    <w:rsid w:val="689F9BEA"/>
    <w:rsid w:val="68ABD17C"/>
    <w:rsid w:val="6AC7D9FC"/>
    <w:rsid w:val="6AD9B092"/>
    <w:rsid w:val="6C8438D5"/>
    <w:rsid w:val="6D691BFE"/>
    <w:rsid w:val="6D8989E1"/>
    <w:rsid w:val="6E7E78E5"/>
    <w:rsid w:val="70C762F0"/>
    <w:rsid w:val="71D30AF0"/>
    <w:rsid w:val="75BDB883"/>
    <w:rsid w:val="761DF5B0"/>
    <w:rsid w:val="7682D6CD"/>
    <w:rsid w:val="769770E6"/>
    <w:rsid w:val="7819A499"/>
    <w:rsid w:val="784557DF"/>
    <w:rsid w:val="78724D56"/>
    <w:rsid w:val="7C23EB97"/>
    <w:rsid w:val="7DD547E0"/>
    <w:rsid w:val="7DEBC7FA"/>
    <w:rsid w:val="7DF8A131"/>
    <w:rsid w:val="7E05D94F"/>
    <w:rsid w:val="7E3A699A"/>
    <w:rsid w:val="7ECDD255"/>
    <w:rsid w:val="7EFF24F9"/>
    <w:rsid w:val="7F76FC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4F90"/>
  <w15:chartTrackingRefBased/>
  <w15:docId w15:val="{148D76B5-8870-4777-80AF-3D17A4B6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CC"/>
    <w:rPr>
      <w:rFonts w:ascii="Lora" w:hAnsi="Lora"/>
      <w:sz w:val="20"/>
    </w:rPr>
  </w:style>
  <w:style w:type="paragraph" w:styleId="Titre1">
    <w:name w:val="heading 1"/>
    <w:basedOn w:val="Normal"/>
    <w:next w:val="Normal"/>
    <w:link w:val="Titre1Car"/>
    <w:uiPriority w:val="9"/>
    <w:qFormat/>
    <w:rsid w:val="008C1334"/>
    <w:pPr>
      <w:keepNext/>
      <w:keepLines/>
      <w:spacing w:before="720" w:after="440"/>
      <w:outlineLvl w:val="0"/>
    </w:pPr>
    <w:rPr>
      <w:rFonts w:ascii="Work Sans" w:eastAsiaTheme="majorEastAsia" w:hAnsi="Work Sans" w:cstheme="majorBidi"/>
      <w:b/>
      <w:color w:val="31595C"/>
      <w:sz w:val="40"/>
      <w:szCs w:val="40"/>
    </w:rPr>
  </w:style>
  <w:style w:type="paragraph" w:styleId="Titre2">
    <w:name w:val="heading 2"/>
    <w:basedOn w:val="Normal"/>
    <w:next w:val="Normal"/>
    <w:link w:val="Titre2Car"/>
    <w:uiPriority w:val="9"/>
    <w:unhideWhenUsed/>
    <w:qFormat/>
    <w:rsid w:val="005836CC"/>
    <w:pPr>
      <w:keepNext/>
      <w:keepLines/>
      <w:spacing w:before="280" w:after="200"/>
      <w:outlineLvl w:val="1"/>
    </w:pPr>
    <w:rPr>
      <w:rFonts w:ascii="Work Sans SemiBold" w:eastAsiaTheme="majorEastAsia" w:hAnsi="Work Sans SemiBold" w:cstheme="majorBidi"/>
      <w:b/>
      <w:color w:val="FBC45D"/>
      <w:sz w:val="28"/>
      <w:szCs w:val="32"/>
    </w:rPr>
  </w:style>
  <w:style w:type="paragraph" w:styleId="Titre3">
    <w:name w:val="heading 3"/>
    <w:basedOn w:val="Normal"/>
    <w:next w:val="Normal"/>
    <w:link w:val="Titre3Car"/>
    <w:uiPriority w:val="9"/>
    <w:unhideWhenUsed/>
    <w:qFormat/>
    <w:rsid w:val="005836CC"/>
    <w:pPr>
      <w:keepNext/>
      <w:keepLines/>
      <w:spacing w:before="280" w:after="200"/>
      <w:outlineLvl w:val="2"/>
    </w:pPr>
    <w:rPr>
      <w:rFonts w:eastAsiaTheme="majorEastAsia" w:cstheme="majorBidi"/>
      <w:b/>
      <w:color w:val="242D33"/>
      <w:szCs w:val="28"/>
    </w:rPr>
  </w:style>
  <w:style w:type="paragraph" w:styleId="Titre4">
    <w:name w:val="heading 4"/>
    <w:basedOn w:val="Normal"/>
    <w:next w:val="Normal"/>
    <w:link w:val="Titre4Car"/>
    <w:uiPriority w:val="9"/>
    <w:unhideWhenUsed/>
    <w:qFormat/>
    <w:rsid w:val="005836CC"/>
    <w:pPr>
      <w:keepNext/>
      <w:keepLines/>
      <w:spacing w:before="200" w:after="160"/>
      <w:outlineLvl w:val="3"/>
    </w:pPr>
    <w:rPr>
      <w:rFonts w:eastAsiaTheme="majorEastAsia" w:cstheme="majorBidi"/>
      <w:b/>
      <w:iCs/>
      <w:color w:val="41AFA6"/>
    </w:rPr>
  </w:style>
  <w:style w:type="paragraph" w:styleId="Titre5">
    <w:name w:val="heading 5"/>
    <w:basedOn w:val="Normal"/>
    <w:next w:val="Normal"/>
    <w:link w:val="Titre5Car"/>
    <w:uiPriority w:val="9"/>
    <w:unhideWhenUsed/>
    <w:qFormat/>
    <w:rsid w:val="005836CC"/>
    <w:pPr>
      <w:keepNext/>
      <w:keepLines/>
      <w:spacing w:before="80" w:after="40"/>
      <w:outlineLvl w:val="4"/>
    </w:pPr>
    <w:rPr>
      <w:rFonts w:eastAsiaTheme="majorEastAsia" w:cstheme="majorBidi"/>
      <w:b/>
      <w:i/>
      <w:color w:val="244244" w:themeColor="accent1" w:themeShade="BF"/>
    </w:rPr>
  </w:style>
  <w:style w:type="paragraph" w:styleId="Titre6">
    <w:name w:val="heading 6"/>
    <w:basedOn w:val="Normal"/>
    <w:next w:val="Normal"/>
    <w:link w:val="Titre6Car"/>
    <w:uiPriority w:val="9"/>
    <w:unhideWhenUsed/>
    <w:qFormat/>
    <w:rsid w:val="000931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31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31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31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71D30AF0"/>
    <w:rPr>
      <w:rFonts w:ascii="Work Sans" w:eastAsiaTheme="majorEastAsia" w:hAnsi="Work Sans" w:cstheme="majorBidi"/>
      <w:b/>
      <w:bCs/>
      <w:color w:val="31595C" w:themeColor="accent1"/>
      <w:sz w:val="40"/>
      <w:szCs w:val="40"/>
    </w:rPr>
  </w:style>
  <w:style w:type="character" w:customStyle="1" w:styleId="Titre2Car">
    <w:name w:val="Titre 2 Car"/>
    <w:link w:val="Titre2"/>
    <w:uiPriority w:val="9"/>
    <w:rsid w:val="71D30AF0"/>
    <w:rPr>
      <w:rFonts w:ascii="Work Sans SemiBold" w:eastAsiaTheme="majorEastAsia" w:hAnsi="Work Sans SemiBold" w:cstheme="majorBidi"/>
      <w:b/>
      <w:bCs/>
      <w:color w:val="FBC45D" w:themeColor="accent2"/>
      <w:sz w:val="28"/>
      <w:szCs w:val="28"/>
    </w:rPr>
  </w:style>
  <w:style w:type="character" w:customStyle="1" w:styleId="Titre3Car">
    <w:name w:val="Titre 3 Car"/>
    <w:link w:val="Titre3"/>
    <w:uiPriority w:val="9"/>
    <w:rsid w:val="71D30AF0"/>
    <w:rPr>
      <w:rFonts w:ascii="Lora" w:eastAsiaTheme="majorEastAsia" w:hAnsi="Lora" w:cstheme="majorBidi"/>
      <w:b/>
      <w:bCs/>
      <w:color w:val="242D33" w:themeColor="text2"/>
      <w:sz w:val="20"/>
      <w:szCs w:val="20"/>
    </w:rPr>
  </w:style>
  <w:style w:type="character" w:customStyle="1" w:styleId="Titre4Car">
    <w:name w:val="Titre 4 Car"/>
    <w:link w:val="Titre4"/>
    <w:uiPriority w:val="9"/>
    <w:rsid w:val="71D30AF0"/>
    <w:rPr>
      <w:rFonts w:ascii="Lora" w:eastAsiaTheme="majorEastAsia" w:hAnsi="Lora" w:cstheme="majorBidi"/>
      <w:b/>
      <w:bCs/>
      <w:color w:val="41AFA6" w:themeColor="accent5"/>
      <w:sz w:val="20"/>
      <w:szCs w:val="20"/>
    </w:rPr>
  </w:style>
  <w:style w:type="character" w:customStyle="1" w:styleId="Titre5Car">
    <w:name w:val="Titre 5 Car"/>
    <w:link w:val="Titre5"/>
    <w:uiPriority w:val="9"/>
    <w:rsid w:val="71D30AF0"/>
    <w:rPr>
      <w:rFonts w:ascii="Lora" w:eastAsiaTheme="majorEastAsia" w:hAnsi="Lora" w:cstheme="majorBidi"/>
      <w:b/>
      <w:bCs/>
      <w:i/>
      <w:iCs/>
      <w:color w:val="244244" w:themeColor="accent1" w:themeShade="BF"/>
      <w:sz w:val="20"/>
      <w:szCs w:val="20"/>
    </w:rPr>
  </w:style>
  <w:style w:type="character" w:customStyle="1" w:styleId="Titre6Car">
    <w:name w:val="Titre 6 Car"/>
    <w:link w:val="Titre6"/>
    <w:uiPriority w:val="9"/>
    <w:rsid w:val="71D30AF0"/>
    <w:rPr>
      <w:rFonts w:eastAsiaTheme="majorEastAsia" w:cstheme="majorBidi"/>
      <w:i/>
      <w:iCs/>
      <w:color w:val="595959" w:themeColor="text1" w:themeTint="A6"/>
    </w:rPr>
  </w:style>
  <w:style w:type="character" w:customStyle="1" w:styleId="Titre7Car">
    <w:name w:val="Titre 7 Car"/>
    <w:link w:val="Titre7"/>
    <w:uiPriority w:val="9"/>
    <w:semiHidden/>
    <w:rsid w:val="71D30AF0"/>
    <w:rPr>
      <w:rFonts w:eastAsiaTheme="majorEastAsia" w:cstheme="majorBidi"/>
      <w:color w:val="595959" w:themeColor="text1" w:themeTint="A6"/>
    </w:rPr>
  </w:style>
  <w:style w:type="character" w:customStyle="1" w:styleId="Titre8Car">
    <w:name w:val="Titre 8 Car"/>
    <w:link w:val="Titre8"/>
    <w:uiPriority w:val="9"/>
    <w:semiHidden/>
    <w:rsid w:val="71D30AF0"/>
    <w:rPr>
      <w:rFonts w:eastAsiaTheme="majorEastAsia" w:cstheme="majorBidi"/>
      <w:i/>
      <w:iCs/>
      <w:color w:val="272727"/>
    </w:rPr>
  </w:style>
  <w:style w:type="character" w:customStyle="1" w:styleId="Titre9Car">
    <w:name w:val="Titre 9 Car"/>
    <w:link w:val="Titre9"/>
    <w:uiPriority w:val="9"/>
    <w:semiHidden/>
    <w:rsid w:val="71D30AF0"/>
    <w:rPr>
      <w:rFonts w:eastAsiaTheme="majorEastAsia" w:cstheme="majorBidi"/>
      <w:color w:val="272727"/>
    </w:rPr>
  </w:style>
  <w:style w:type="paragraph" w:styleId="Titre">
    <w:name w:val="Title"/>
    <w:aliases w:val="Titre - Page Couverture"/>
    <w:basedOn w:val="Normal"/>
    <w:next w:val="Normal"/>
    <w:link w:val="TitreCar"/>
    <w:uiPriority w:val="10"/>
    <w:qFormat/>
    <w:rsid w:val="0049295F"/>
    <w:pPr>
      <w:spacing w:before="240" w:after="80"/>
      <w:contextualSpacing/>
    </w:pPr>
    <w:rPr>
      <w:rFonts w:ascii="Work Sans Black" w:eastAsiaTheme="majorEastAsia" w:hAnsi="Work Sans Black" w:cs="Times New Roman (Titres CS)"/>
      <w:b/>
      <w:color w:val="005E5D"/>
      <w:kern w:val="28"/>
      <w:sz w:val="96"/>
      <w:szCs w:val="56"/>
    </w:rPr>
  </w:style>
  <w:style w:type="character" w:customStyle="1" w:styleId="TitreCar">
    <w:name w:val="Titre Car"/>
    <w:aliases w:val="Titre - Page Couverture Car"/>
    <w:link w:val="Titre"/>
    <w:uiPriority w:val="10"/>
    <w:rsid w:val="71D30AF0"/>
    <w:rPr>
      <w:rFonts w:ascii="Work Sans Black" w:eastAsiaTheme="majorEastAsia" w:hAnsi="Work Sans Black" w:cs="Times New Roman (Titres CS)"/>
      <w:b/>
      <w:bCs/>
      <w:color w:val="005E5D"/>
      <w:sz w:val="96"/>
      <w:szCs w:val="96"/>
    </w:rPr>
  </w:style>
  <w:style w:type="paragraph" w:styleId="Sous-titre">
    <w:name w:val="Subtitle"/>
    <w:aliases w:val="Sous-titre - Page couverture"/>
    <w:basedOn w:val="Normal"/>
    <w:next w:val="Normal"/>
    <w:link w:val="Sous-titreCar"/>
    <w:uiPriority w:val="11"/>
    <w:qFormat/>
    <w:rsid w:val="0049295F"/>
    <w:pPr>
      <w:numPr>
        <w:ilvl w:val="1"/>
      </w:numPr>
      <w:spacing w:after="160"/>
    </w:pPr>
    <w:rPr>
      <w:rFonts w:ascii="Work Sans Light" w:eastAsiaTheme="majorEastAsia" w:hAnsi="Work Sans Light" w:cstheme="majorBidi"/>
      <w:color w:val="41AFA6"/>
      <w:spacing w:val="15"/>
      <w:sz w:val="56"/>
      <w:szCs w:val="28"/>
    </w:rPr>
  </w:style>
  <w:style w:type="character" w:customStyle="1" w:styleId="Sous-titreCar">
    <w:name w:val="Sous-titre Car"/>
    <w:aliases w:val="Sous-titre - Page couverture Car"/>
    <w:link w:val="Sous-titre"/>
    <w:uiPriority w:val="11"/>
    <w:rsid w:val="71D30AF0"/>
    <w:rPr>
      <w:rFonts w:ascii="Work Sans Light" w:eastAsiaTheme="majorEastAsia" w:hAnsi="Work Sans Light" w:cstheme="majorBidi"/>
      <w:color w:val="41AFA6" w:themeColor="accent5"/>
      <w:sz w:val="56"/>
      <w:szCs w:val="56"/>
    </w:rPr>
  </w:style>
  <w:style w:type="paragraph" w:styleId="Citation">
    <w:name w:val="Quote"/>
    <w:basedOn w:val="Normal"/>
    <w:next w:val="Normal"/>
    <w:link w:val="CitationCar"/>
    <w:uiPriority w:val="29"/>
    <w:qFormat/>
    <w:rsid w:val="0055602A"/>
    <w:pPr>
      <w:spacing w:before="160" w:after="160"/>
      <w:jc w:val="center"/>
    </w:pPr>
    <w:rPr>
      <w:i/>
      <w:iCs/>
      <w:color w:val="242D33"/>
    </w:rPr>
  </w:style>
  <w:style w:type="character" w:customStyle="1" w:styleId="CitationCar">
    <w:name w:val="Citation Car"/>
    <w:link w:val="Citation"/>
    <w:uiPriority w:val="29"/>
    <w:rsid w:val="71D30AF0"/>
    <w:rPr>
      <w:rFonts w:ascii="Lora" w:hAnsi="Lora"/>
      <w:i/>
      <w:iCs/>
      <w:color w:val="242D33" w:themeColor="text2"/>
      <w:sz w:val="22"/>
      <w:szCs w:val="22"/>
    </w:rPr>
  </w:style>
  <w:style w:type="paragraph" w:styleId="Paragraphedeliste">
    <w:name w:val="List Paragraph"/>
    <w:basedOn w:val="Normal"/>
    <w:uiPriority w:val="34"/>
    <w:qFormat/>
    <w:rsid w:val="000931C4"/>
    <w:pPr>
      <w:ind w:left="720"/>
      <w:contextualSpacing/>
    </w:pPr>
  </w:style>
  <w:style w:type="character" w:styleId="Accentuationintense">
    <w:name w:val="Intense Emphasis"/>
    <w:uiPriority w:val="21"/>
    <w:qFormat/>
    <w:rsid w:val="71D30AF0"/>
    <w:rPr>
      <w:rFonts w:ascii="Lora" w:hAnsi="Lora"/>
      <w:b/>
      <w:bCs/>
      <w:i w:val="0"/>
      <w:iCs w:val="0"/>
      <w:color w:val="8BB8E8"/>
      <w:sz w:val="22"/>
      <w:szCs w:val="22"/>
    </w:rPr>
  </w:style>
  <w:style w:type="paragraph" w:styleId="Citationintense">
    <w:name w:val="Intense Quote"/>
    <w:basedOn w:val="Normal"/>
    <w:next w:val="Normal"/>
    <w:link w:val="CitationintenseCar"/>
    <w:uiPriority w:val="30"/>
    <w:qFormat/>
    <w:rsid w:val="0055602A"/>
    <w:pPr>
      <w:pBdr>
        <w:top w:val="single" w:sz="4" w:space="10" w:color="244244" w:themeColor="accent1" w:themeShade="BF"/>
        <w:bottom w:val="single" w:sz="4" w:space="10" w:color="244244" w:themeColor="accent1" w:themeShade="BF"/>
      </w:pBdr>
      <w:spacing w:before="360" w:after="360"/>
      <w:ind w:left="864" w:right="864"/>
      <w:jc w:val="center"/>
    </w:pPr>
    <w:rPr>
      <w:i/>
      <w:iCs/>
      <w:color w:val="41AFA6"/>
    </w:rPr>
  </w:style>
  <w:style w:type="character" w:customStyle="1" w:styleId="CitationintenseCar">
    <w:name w:val="Citation intense Car"/>
    <w:link w:val="Citationintense"/>
    <w:uiPriority w:val="30"/>
    <w:rsid w:val="71D30AF0"/>
    <w:rPr>
      <w:rFonts w:ascii="Lora" w:hAnsi="Lora"/>
      <w:i/>
      <w:iCs/>
      <w:color w:val="41AFA6" w:themeColor="accent5"/>
      <w:sz w:val="22"/>
      <w:szCs w:val="22"/>
    </w:rPr>
  </w:style>
  <w:style w:type="character" w:styleId="Rfrenceintense">
    <w:name w:val="Intense Reference"/>
    <w:uiPriority w:val="32"/>
    <w:qFormat/>
    <w:rsid w:val="71D30AF0"/>
    <w:rPr>
      <w:b/>
      <w:bCs/>
      <w:smallCaps/>
      <w:color w:val="244244" w:themeColor="accent1" w:themeShade="BF"/>
    </w:rPr>
  </w:style>
  <w:style w:type="paragraph" w:styleId="En-tte">
    <w:name w:val="header"/>
    <w:basedOn w:val="Normal"/>
    <w:link w:val="En-tteCar"/>
    <w:uiPriority w:val="99"/>
    <w:unhideWhenUsed/>
    <w:rsid w:val="000931C4"/>
    <w:pPr>
      <w:tabs>
        <w:tab w:val="center" w:pos="4320"/>
        <w:tab w:val="right" w:pos="8640"/>
      </w:tabs>
    </w:pPr>
  </w:style>
  <w:style w:type="character" w:customStyle="1" w:styleId="En-tteCar">
    <w:name w:val="En-tête Car"/>
    <w:link w:val="En-tte"/>
    <w:uiPriority w:val="99"/>
    <w:rsid w:val="71D30AF0"/>
  </w:style>
  <w:style w:type="paragraph" w:styleId="Pieddepage">
    <w:name w:val="footer"/>
    <w:basedOn w:val="Normal"/>
    <w:link w:val="PieddepageCar"/>
    <w:uiPriority w:val="99"/>
    <w:unhideWhenUsed/>
    <w:rsid w:val="000931C4"/>
    <w:pPr>
      <w:tabs>
        <w:tab w:val="center" w:pos="4320"/>
        <w:tab w:val="right" w:pos="8640"/>
      </w:tabs>
    </w:pPr>
  </w:style>
  <w:style w:type="character" w:customStyle="1" w:styleId="PieddepageCar">
    <w:name w:val="Pied de page Car"/>
    <w:link w:val="Pieddepage"/>
    <w:uiPriority w:val="99"/>
    <w:rsid w:val="71D30AF0"/>
  </w:style>
  <w:style w:type="paragraph" w:styleId="Sansinterligne">
    <w:name w:val="No Spacing"/>
    <w:autoRedefine/>
    <w:uiPriority w:val="1"/>
    <w:qFormat/>
    <w:rsid w:val="000931C4"/>
    <w:rPr>
      <w:rFonts w:ascii="Lora" w:hAnsi="Lora"/>
      <w:sz w:val="22"/>
    </w:rPr>
  </w:style>
  <w:style w:type="character" w:styleId="Accentuationlgre">
    <w:name w:val="Subtle Emphasis"/>
    <w:uiPriority w:val="19"/>
    <w:qFormat/>
    <w:rsid w:val="71D30AF0"/>
    <w:rPr>
      <w:rFonts w:ascii="Lora" w:hAnsi="Lora"/>
      <w:b/>
      <w:bCs/>
      <w:i w:val="0"/>
      <w:iCs w:val="0"/>
      <w:color w:val="41AFA6" w:themeColor="accent5"/>
      <w:sz w:val="22"/>
      <w:szCs w:val="22"/>
    </w:rPr>
  </w:style>
  <w:style w:type="character" w:styleId="Accentuation">
    <w:name w:val="Emphasis"/>
    <w:uiPriority w:val="20"/>
    <w:qFormat/>
    <w:rsid w:val="71D30AF0"/>
    <w:rPr>
      <w:rFonts w:ascii="Lora" w:hAnsi="Lora"/>
      <w:b/>
      <w:bCs/>
      <w:i w:val="0"/>
      <w:iCs w:val="0"/>
      <w:color w:val="FBC45D" w:themeColor="accent2"/>
      <w:sz w:val="22"/>
      <w:szCs w:val="22"/>
    </w:rPr>
  </w:style>
  <w:style w:type="character" w:styleId="lev">
    <w:name w:val="Strong"/>
    <w:uiPriority w:val="22"/>
    <w:qFormat/>
    <w:rsid w:val="71D30AF0"/>
    <w:rPr>
      <w:b/>
      <w:bCs/>
    </w:rPr>
  </w:style>
  <w:style w:type="paragraph" w:styleId="NormalWeb">
    <w:name w:val="Normal (Web)"/>
    <w:basedOn w:val="Normal"/>
    <w:uiPriority w:val="99"/>
    <w:semiHidden/>
    <w:unhideWhenUsed/>
    <w:rsid w:val="00A74431"/>
    <w:pPr>
      <w:spacing w:before="100" w:beforeAutospacing="1" w:after="100" w:afterAutospacing="1"/>
    </w:pPr>
    <w:rPr>
      <w:rFonts w:ascii="Times New Roman" w:eastAsia="Times New Roman" w:hAnsi="Times New Roman" w:cs="Times New Roman"/>
      <w:kern w:val="0"/>
      <w:sz w:val="24"/>
      <w:lang w:eastAsia="fr-CA"/>
      <w14:ligatures w14:val="none"/>
    </w:rPr>
  </w:style>
  <w:style w:type="character" w:styleId="Rfrencelgre">
    <w:name w:val="Subtle Reference"/>
    <w:uiPriority w:val="31"/>
    <w:qFormat/>
    <w:rsid w:val="71D30AF0"/>
    <w:rPr>
      <w:smallCaps/>
      <w:color w:val="5A5A5A"/>
    </w:rPr>
  </w:style>
  <w:style w:type="character" w:styleId="Titredulivre">
    <w:name w:val="Book Title"/>
    <w:uiPriority w:val="33"/>
    <w:qFormat/>
    <w:rsid w:val="71D30AF0"/>
    <w:rPr>
      <w:b/>
      <w:bCs/>
      <w:i/>
      <w:iCs/>
    </w:rPr>
  </w:style>
  <w:style w:type="table" w:styleId="Grilledutableau">
    <w:name w:val="Table Grid"/>
    <w:basedOn w:val="TableauNormal"/>
    <w:uiPriority w:val="39"/>
    <w:rsid w:val="00583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semiHidden/>
    <w:unhideWhenUsed/>
    <w:rsid w:val="71D30AF0"/>
  </w:style>
  <w:style w:type="character" w:customStyle="1" w:styleId="normaltextrun">
    <w:name w:val="normaltextrun"/>
    <w:uiPriority w:val="1"/>
    <w:rsid w:val="71D30AF0"/>
    <w:rPr>
      <w:rFonts w:asciiTheme="minorHAnsi" w:eastAsiaTheme="minorEastAsia" w:hAnsiTheme="minorHAnsi" w:cstheme="minorBidi"/>
      <w:sz w:val="22"/>
      <w:szCs w:val="22"/>
    </w:rPr>
  </w:style>
  <w:style w:type="character" w:styleId="Hyperlien">
    <w:name w:val="Hyperlink"/>
    <w:uiPriority w:val="99"/>
    <w:unhideWhenUsed/>
    <w:rsid w:val="71D30AF0"/>
    <w:rPr>
      <w:color w:val="8BC3FF" w:themeColor="accent4"/>
      <w:u w:val="single"/>
    </w:rPr>
  </w:style>
  <w:style w:type="paragraph" w:styleId="TM1">
    <w:name w:val="toc 1"/>
    <w:basedOn w:val="Normal"/>
    <w:next w:val="Normal"/>
    <w:uiPriority w:val="39"/>
    <w:unhideWhenUsed/>
    <w:rsid w:val="71D30AF0"/>
    <w:pPr>
      <w:spacing w:after="100"/>
    </w:pPr>
  </w:style>
  <w:style w:type="paragraph" w:styleId="TM2">
    <w:name w:val="toc 2"/>
    <w:basedOn w:val="Normal"/>
    <w:next w:val="Normal"/>
    <w:uiPriority w:val="39"/>
    <w:unhideWhenUsed/>
    <w:rsid w:val="71D30AF0"/>
    <w:pPr>
      <w:spacing w:after="100"/>
      <w:ind w:left="220"/>
    </w:pPr>
  </w:style>
  <w:style w:type="paragraph" w:styleId="TM4">
    <w:name w:val="toc 4"/>
    <w:basedOn w:val="Normal"/>
    <w:next w:val="Normal"/>
    <w:uiPriority w:val="39"/>
    <w:unhideWhenUsed/>
    <w:rsid w:val="71D30AF0"/>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sa/4.0/deed.f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Thématique Béati">
      <a:dk1>
        <a:sysClr val="windowText" lastClr="000000"/>
      </a:dk1>
      <a:lt1>
        <a:sysClr val="window" lastClr="FFFFFF"/>
      </a:lt1>
      <a:dk2>
        <a:srgbClr val="242D33"/>
      </a:dk2>
      <a:lt2>
        <a:srgbClr val="FCF9F4"/>
      </a:lt2>
      <a:accent1>
        <a:srgbClr val="31595C"/>
      </a:accent1>
      <a:accent2>
        <a:srgbClr val="FBC45D"/>
      </a:accent2>
      <a:accent3>
        <a:srgbClr val="DAC191"/>
      </a:accent3>
      <a:accent4>
        <a:srgbClr val="8BC3FF"/>
      </a:accent4>
      <a:accent5>
        <a:srgbClr val="41AFA6"/>
      </a:accent5>
      <a:accent6>
        <a:srgbClr val="DDEFF6"/>
      </a:accent6>
      <a:hlink>
        <a:srgbClr val="8BC3FF"/>
      </a:hlink>
      <a:folHlink>
        <a:srgbClr val="DAC191"/>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Work Sans Light"/>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ECFF0060A4643905A061768AC4AF6" ma:contentTypeVersion="14" ma:contentTypeDescription="Crée un document." ma:contentTypeScope="" ma:versionID="2899172b0cb624a18e3e43e8783ee0da">
  <xsd:schema xmlns:xsd="http://www.w3.org/2001/XMLSchema" xmlns:xs="http://www.w3.org/2001/XMLSchema" xmlns:p="http://schemas.microsoft.com/office/2006/metadata/properties" xmlns:ns2="b497bdd6-e6ed-494f-8461-86c34f985a6c" xmlns:ns3="ea14c3b2-e84d-4047-a1b7-1fe97397208c" targetNamespace="http://schemas.microsoft.com/office/2006/metadata/properties" ma:root="true" ma:fieldsID="871ee67e92dac316603c7adc1e7431bd" ns2:_="" ns3:_="">
    <xsd:import namespace="b497bdd6-e6ed-494f-8461-86c34f985a6c"/>
    <xsd:import namespace="ea14c3b2-e84d-4047-a1b7-1fe973972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7bdd6-e6ed-494f-8461-86c34f98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1d7614-0e0d-4171-ab07-f89dc80456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4c3b2-e84d-4047-a1b7-1fe97397208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3784a230-3d83-481a-a122-4da03527de3b}" ma:internalName="TaxCatchAll" ma:showField="CatchAllData" ma:web="ea14c3b2-e84d-4047-a1b7-1fe973972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14c3b2-e84d-4047-a1b7-1fe97397208c" xsi:nil="true"/>
    <lcf76f155ced4ddcb4097134ff3c332f xmlns="b497bdd6-e6ed-494f-8461-86c34f985a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49D1-4FCB-4571-97CF-548702B6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7bdd6-e6ed-494f-8461-86c34f985a6c"/>
    <ds:schemaRef ds:uri="ea14c3b2-e84d-4047-a1b7-1fe973972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97765-4FCF-43EC-9976-B9F1847FA702}">
  <ds:schemaRefs>
    <ds:schemaRef ds:uri="http://schemas.microsoft.com/office/2006/metadata/properties"/>
    <ds:schemaRef ds:uri="http://schemas.microsoft.com/office/infopath/2007/PartnerControls"/>
    <ds:schemaRef ds:uri="ea14c3b2-e84d-4047-a1b7-1fe97397208c"/>
    <ds:schemaRef ds:uri="b497bdd6-e6ed-494f-8461-86c34f985a6c"/>
  </ds:schemaRefs>
</ds:datastoreItem>
</file>

<file path=customXml/itemProps3.xml><?xml version="1.0" encoding="utf-8"?>
<ds:datastoreItem xmlns:ds="http://schemas.openxmlformats.org/officeDocument/2006/customXml" ds:itemID="{46E63881-BB6F-4B8A-9234-613D21A32118}">
  <ds:schemaRefs>
    <ds:schemaRef ds:uri="http://schemas.microsoft.com/sharepoint/v3/contenttype/forms"/>
  </ds:schemaRefs>
</ds:datastoreItem>
</file>

<file path=customXml/itemProps4.xml><?xml version="1.0" encoding="utf-8"?>
<ds:datastoreItem xmlns:ds="http://schemas.openxmlformats.org/officeDocument/2006/customXml" ds:itemID="{8528F000-FC17-5140-9F33-8399D8BC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8199</Words>
  <Characters>46248</Characters>
  <Application>Microsoft Office Word</Application>
  <DocSecurity>0</DocSecurity>
  <Lines>889</Lines>
  <Paragraphs>442</Paragraphs>
  <ScaleCrop>false</ScaleCrop>
  <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à jour le 19 juin 2025</dc:title>
  <dc:subject/>
  <dc:creator>Maya Sakkal</dc:creator>
  <cp:keywords/>
  <dc:description/>
  <cp:lastModifiedBy>Maya Sakkal</cp:lastModifiedBy>
  <cp:revision>2</cp:revision>
  <dcterms:created xsi:type="dcterms:W3CDTF">2026-03-03T20:24:00Z</dcterms:created>
  <dcterms:modified xsi:type="dcterms:W3CDTF">2026-03-03T20:24:00Z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0x010100F33ECFF0060A4643905A061768AC4AF6</vt:lpwstr>
  </property>
  <property fmtid="{D5CDD505-2E9C-101B-9397-08002B2CF9AE}" pid="3" name="MediaServiceImageTags">
    <vt:lpwstr/>
  </property>
</Properties>
</file>